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A834" w14:textId="664FCA22" w:rsidR="0080298B" w:rsidRPr="00FC2DE8" w:rsidRDefault="0080298B" w:rsidP="0080298B">
      <w:pPr>
        <w:tabs>
          <w:tab w:val="left" w:pos="1620"/>
        </w:tabs>
        <w:spacing w:line="360" w:lineRule="auto"/>
        <w:rPr>
          <w:rFonts w:ascii="Georgia" w:hAnsi="Georgia" w:cs="Arial"/>
          <w:sz w:val="20"/>
          <w:szCs w:val="20"/>
        </w:rPr>
      </w:pPr>
      <w:r w:rsidRPr="00FC2DE8">
        <w:rPr>
          <w:rFonts w:ascii="Georgia" w:hAnsi="Georgia" w:cs="Arial"/>
          <w:sz w:val="20"/>
          <w:szCs w:val="20"/>
        </w:rPr>
        <w:t>Datum</w:t>
      </w:r>
      <w:r w:rsidRPr="00FC2DE8">
        <w:rPr>
          <w:rFonts w:ascii="Georgia" w:hAnsi="Georgia" w:cs="Arial"/>
          <w:sz w:val="20"/>
          <w:szCs w:val="20"/>
        </w:rPr>
        <w:tab/>
      </w:r>
      <w:r w:rsidRPr="00FC2DE8">
        <w:rPr>
          <w:rFonts w:ascii="Georgia" w:hAnsi="Georgia" w:cs="Arial"/>
          <w:sz w:val="20"/>
          <w:szCs w:val="20"/>
        </w:rPr>
        <w:tab/>
      </w:r>
      <w:r w:rsidRPr="00FC2DE8">
        <w:rPr>
          <w:rFonts w:ascii="Georgia" w:hAnsi="Georgia" w:cs="Arial"/>
          <w:sz w:val="20"/>
          <w:szCs w:val="20"/>
        </w:rPr>
        <w:fldChar w:fldCharType="begin"/>
      </w:r>
      <w:r w:rsidRPr="00FC2DE8">
        <w:rPr>
          <w:rFonts w:ascii="Georgia" w:hAnsi="Georgia" w:cs="Arial"/>
          <w:sz w:val="20"/>
          <w:szCs w:val="20"/>
        </w:rPr>
        <w:instrText xml:space="preserve"> DATE  \@ "d. MMMM yyyy"  \* MERGEFORMAT </w:instrText>
      </w:r>
      <w:r w:rsidRPr="00FC2DE8">
        <w:rPr>
          <w:rFonts w:ascii="Georgia" w:hAnsi="Georgia" w:cs="Arial"/>
          <w:sz w:val="20"/>
          <w:szCs w:val="20"/>
        </w:rPr>
        <w:fldChar w:fldCharType="separate"/>
      </w:r>
      <w:r w:rsidR="00081AE3">
        <w:rPr>
          <w:rFonts w:ascii="Georgia" w:hAnsi="Georgia" w:cs="Arial"/>
          <w:noProof/>
          <w:sz w:val="20"/>
          <w:szCs w:val="20"/>
        </w:rPr>
        <w:t>9. března 2023</w:t>
      </w:r>
      <w:r w:rsidRPr="00FC2DE8">
        <w:rPr>
          <w:rFonts w:ascii="Georgia" w:hAnsi="Georgia" w:cs="Arial"/>
          <w:sz w:val="20"/>
          <w:szCs w:val="20"/>
        </w:rPr>
        <w:fldChar w:fldCharType="end"/>
      </w:r>
    </w:p>
    <w:p w14:paraId="2BA7A8C3" w14:textId="77777777" w:rsidR="0080298B" w:rsidRPr="00FC2DE8" w:rsidRDefault="0080298B" w:rsidP="0080298B">
      <w:pPr>
        <w:tabs>
          <w:tab w:val="left" w:pos="1620"/>
        </w:tabs>
        <w:spacing w:line="360" w:lineRule="auto"/>
        <w:rPr>
          <w:rFonts w:ascii="Georgia" w:hAnsi="Georgia" w:cs="Arial"/>
          <w:sz w:val="20"/>
          <w:szCs w:val="20"/>
        </w:rPr>
      </w:pPr>
      <w:r w:rsidRPr="00FC2DE8">
        <w:rPr>
          <w:rFonts w:ascii="Georgia" w:hAnsi="Georgia" w:cs="Arial"/>
          <w:sz w:val="20"/>
          <w:szCs w:val="20"/>
        </w:rPr>
        <w:t>Místo</w:t>
      </w:r>
      <w:r w:rsidRPr="00FC2DE8">
        <w:rPr>
          <w:rFonts w:ascii="Georgia" w:hAnsi="Georgia" w:cs="Arial"/>
          <w:sz w:val="20"/>
          <w:szCs w:val="20"/>
        </w:rPr>
        <w:tab/>
      </w:r>
      <w:r w:rsidRPr="00FC2DE8">
        <w:rPr>
          <w:rFonts w:ascii="Georgia" w:hAnsi="Georgia" w:cs="Arial"/>
          <w:sz w:val="20"/>
          <w:szCs w:val="20"/>
        </w:rPr>
        <w:tab/>
        <w:t>Ostrava</w:t>
      </w:r>
    </w:p>
    <w:p w14:paraId="5A01FA75" w14:textId="77777777" w:rsidR="0080298B" w:rsidRPr="00FC2DE8" w:rsidRDefault="0080298B" w:rsidP="0080298B">
      <w:pPr>
        <w:tabs>
          <w:tab w:val="left" w:pos="1620"/>
        </w:tabs>
        <w:spacing w:line="360" w:lineRule="auto"/>
        <w:rPr>
          <w:rFonts w:ascii="Georgia" w:hAnsi="Georgia" w:cs="Arial"/>
          <w:sz w:val="20"/>
          <w:szCs w:val="20"/>
        </w:rPr>
      </w:pPr>
      <w:r w:rsidRPr="00FC2DE8">
        <w:rPr>
          <w:rFonts w:ascii="Georgia" w:hAnsi="Georgia" w:cs="Arial"/>
          <w:sz w:val="20"/>
          <w:szCs w:val="20"/>
        </w:rPr>
        <w:t>Vypracoval</w:t>
      </w:r>
      <w:r>
        <w:rPr>
          <w:rFonts w:ascii="Georgia" w:hAnsi="Georgia" w:cs="Arial"/>
          <w:sz w:val="20"/>
          <w:szCs w:val="20"/>
        </w:rPr>
        <w:t>a</w:t>
      </w:r>
      <w:r w:rsidRPr="00FC2DE8">
        <w:rPr>
          <w:rFonts w:ascii="Georgia" w:hAnsi="Georgia" w:cs="Arial"/>
          <w:sz w:val="20"/>
          <w:szCs w:val="20"/>
        </w:rPr>
        <w:tab/>
      </w:r>
      <w:r w:rsidRPr="00FC2DE8"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>Gabriela Pokorná, tisková mluvčí</w:t>
      </w:r>
    </w:p>
    <w:p w14:paraId="18F24E7F" w14:textId="77777777" w:rsidR="0080298B" w:rsidRPr="00FC2DE8" w:rsidRDefault="0080298B" w:rsidP="0080298B">
      <w:pPr>
        <w:tabs>
          <w:tab w:val="left" w:pos="1620"/>
        </w:tabs>
        <w:spacing w:line="360" w:lineRule="auto"/>
        <w:rPr>
          <w:rFonts w:ascii="Georgia" w:hAnsi="Georgia" w:cs="Arial"/>
          <w:sz w:val="20"/>
          <w:szCs w:val="20"/>
        </w:rPr>
      </w:pPr>
      <w:r w:rsidRPr="00FC2DE8">
        <w:rPr>
          <w:rFonts w:ascii="Georgia" w:hAnsi="Georgia" w:cs="Arial"/>
          <w:sz w:val="20"/>
          <w:szCs w:val="20"/>
        </w:rPr>
        <w:t>Telefon</w:t>
      </w:r>
      <w:r w:rsidRPr="00FC2DE8">
        <w:rPr>
          <w:rFonts w:ascii="Georgia" w:hAnsi="Georgia" w:cs="Arial"/>
          <w:sz w:val="20"/>
          <w:szCs w:val="20"/>
        </w:rPr>
        <w:tab/>
      </w:r>
      <w:r w:rsidRPr="00FC2DE8">
        <w:rPr>
          <w:rFonts w:ascii="Georgia" w:hAnsi="Georgia" w:cs="Arial"/>
          <w:sz w:val="20"/>
          <w:szCs w:val="20"/>
        </w:rPr>
        <w:tab/>
        <w:t>599 442</w:t>
      </w:r>
      <w:r>
        <w:rPr>
          <w:rFonts w:ascii="Georgia" w:hAnsi="Georgia" w:cs="Arial"/>
          <w:sz w:val="20"/>
          <w:szCs w:val="20"/>
        </w:rPr>
        <w:t> </w:t>
      </w:r>
      <w:r w:rsidRPr="00FC2DE8">
        <w:rPr>
          <w:rFonts w:ascii="Georgia" w:hAnsi="Georgia" w:cs="Arial"/>
          <w:sz w:val="20"/>
          <w:szCs w:val="20"/>
        </w:rPr>
        <w:t>28</w:t>
      </w:r>
      <w:r>
        <w:rPr>
          <w:rFonts w:ascii="Georgia" w:hAnsi="Georgia" w:cs="Arial"/>
          <w:sz w:val="20"/>
          <w:szCs w:val="20"/>
        </w:rPr>
        <w:t>5, 606 678 478</w:t>
      </w:r>
    </w:p>
    <w:p w14:paraId="22BA1882" w14:textId="77777777" w:rsidR="0080298B" w:rsidRPr="00FC2DE8" w:rsidRDefault="0080298B" w:rsidP="0080298B">
      <w:pPr>
        <w:tabs>
          <w:tab w:val="left" w:pos="1620"/>
        </w:tabs>
        <w:spacing w:line="360" w:lineRule="auto"/>
        <w:rPr>
          <w:rFonts w:ascii="Georgia" w:hAnsi="Georgia" w:cs="Arial"/>
          <w:sz w:val="20"/>
          <w:szCs w:val="20"/>
        </w:rPr>
      </w:pPr>
      <w:r w:rsidRPr="00FC2DE8">
        <w:rPr>
          <w:rFonts w:ascii="Georgia" w:hAnsi="Georgia" w:cs="Arial"/>
          <w:sz w:val="20"/>
          <w:szCs w:val="20"/>
        </w:rPr>
        <w:t>E-mail</w:t>
      </w:r>
      <w:r w:rsidRPr="00FC2DE8">
        <w:rPr>
          <w:rFonts w:ascii="Georgia" w:hAnsi="Georgia" w:cs="Arial"/>
          <w:sz w:val="20"/>
          <w:szCs w:val="20"/>
        </w:rPr>
        <w:tab/>
      </w:r>
      <w:r w:rsidRPr="00FC2DE8"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>gpokorna</w:t>
      </w:r>
      <w:r w:rsidRPr="00FC2DE8">
        <w:rPr>
          <w:rFonts w:ascii="Georgia" w:hAnsi="Georgia" w:cs="Arial"/>
          <w:sz w:val="20"/>
          <w:szCs w:val="20"/>
        </w:rPr>
        <w:t>@ostrava.cz</w:t>
      </w:r>
    </w:p>
    <w:p w14:paraId="584AF9CF" w14:textId="77777777" w:rsidR="0080298B" w:rsidRDefault="0080298B" w:rsidP="0080298B">
      <w:pPr>
        <w:pStyle w:val="JVS1"/>
        <w:rPr>
          <w:rFonts w:ascii="Georgia" w:hAnsi="Georgia"/>
          <w:sz w:val="16"/>
          <w:szCs w:val="16"/>
        </w:rPr>
      </w:pPr>
    </w:p>
    <w:p w14:paraId="4F5E5815" w14:textId="77777777" w:rsidR="0080298B" w:rsidRPr="00320DAD" w:rsidRDefault="0080298B" w:rsidP="0080298B">
      <w:pPr>
        <w:pStyle w:val="JVS1"/>
        <w:rPr>
          <w:rFonts w:ascii="Georgia" w:hAnsi="Georgia"/>
          <w:sz w:val="16"/>
          <w:szCs w:val="16"/>
        </w:rPr>
      </w:pPr>
    </w:p>
    <w:p w14:paraId="71660E52" w14:textId="615E05E2" w:rsidR="0080298B" w:rsidRDefault="00DF5B1F" w:rsidP="0080298B">
      <w:pPr>
        <w:pStyle w:val="JVS1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TISKOVÁ ZPRÁVA</w:t>
      </w:r>
    </w:p>
    <w:p w14:paraId="02C49CF3" w14:textId="77777777" w:rsidR="004C5D52" w:rsidRPr="007D05AB" w:rsidRDefault="004C5D52" w:rsidP="004C5D52">
      <w:pPr>
        <w:autoSpaceDE w:val="0"/>
        <w:autoSpaceDN w:val="0"/>
        <w:adjustRightInd w:val="0"/>
        <w:jc w:val="both"/>
        <w:rPr>
          <w:rFonts w:ascii="Georgia" w:hAnsi="Georgia" w:cs="Arial"/>
          <w:b/>
          <w:bCs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Tři největší česká města Praha, Brno, Ostrava a Moravskoslezský kraj se prezentují na veletrhu MIPIM ve Francii</w:t>
      </w:r>
    </w:p>
    <w:p w14:paraId="4BC5CBED" w14:textId="4C556411" w:rsidR="004C5D52" w:rsidRDefault="004C5D52" w:rsidP="004C5D52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D05AB">
        <w:rPr>
          <w:rFonts w:ascii="Calibri" w:hAnsi="Calibri" w:cs="Calibri"/>
          <w:sz w:val="22"/>
          <w:szCs w:val="22"/>
        </w:rPr>
        <w:t> </w:t>
      </w:r>
    </w:p>
    <w:p w14:paraId="7E2D1F09" w14:textId="77777777" w:rsidR="004C5D52" w:rsidRPr="007D05AB" w:rsidRDefault="004C5D52" w:rsidP="004C5D52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Georgia" w:hAnsi="Georgia" w:cs="Calibri"/>
          <w:sz w:val="20"/>
          <w:szCs w:val="20"/>
        </w:rPr>
        <w:t>V</w:t>
      </w:r>
      <w:r w:rsidRPr="009C0A50">
        <w:rPr>
          <w:rFonts w:ascii="Georgia" w:hAnsi="Georgia" w:cs="Calibri"/>
          <w:sz w:val="20"/>
          <w:szCs w:val="20"/>
        </w:rPr>
        <w:t xml:space="preserve">e společné expozici s názvem Czech </w:t>
      </w:r>
      <w:proofErr w:type="spellStart"/>
      <w:r w:rsidRPr="009C0A50">
        <w:rPr>
          <w:rFonts w:ascii="Georgia" w:hAnsi="Georgia" w:cs="Calibri"/>
          <w:sz w:val="20"/>
          <w:szCs w:val="20"/>
        </w:rPr>
        <w:t>Cities</w:t>
      </w:r>
      <w:proofErr w:type="spellEnd"/>
      <w:r w:rsidRPr="009C0A50">
        <w:rPr>
          <w:rFonts w:ascii="Georgia" w:hAnsi="Georgia" w:cs="Calibri"/>
          <w:sz w:val="20"/>
          <w:szCs w:val="20"/>
        </w:rPr>
        <w:t xml:space="preserve"> &amp; </w:t>
      </w:r>
      <w:proofErr w:type="spellStart"/>
      <w:r w:rsidRPr="009C0A50">
        <w:rPr>
          <w:rFonts w:ascii="Georgia" w:hAnsi="Georgia" w:cs="Calibri"/>
          <w:sz w:val="20"/>
          <w:szCs w:val="20"/>
        </w:rPr>
        <w:t>Regions</w:t>
      </w:r>
      <w:proofErr w:type="spellEnd"/>
      <w:r>
        <w:rPr>
          <w:rFonts w:ascii="Georgia" w:hAnsi="Georgia" w:cs="Calibri"/>
          <w:sz w:val="20"/>
          <w:szCs w:val="20"/>
        </w:rPr>
        <w:t xml:space="preserve"> se na prestižním mezinárodním </w:t>
      </w:r>
      <w:r w:rsidRPr="009C0A50">
        <w:rPr>
          <w:rFonts w:ascii="Georgia" w:hAnsi="Georgia" w:cs="Calibri"/>
          <w:sz w:val="20"/>
          <w:szCs w:val="20"/>
        </w:rPr>
        <w:t>veletrhu investičních příležitostí MIPIM ve francouzském Cannes</w:t>
      </w:r>
      <w:r>
        <w:rPr>
          <w:rFonts w:ascii="Georgia" w:hAnsi="Georgia" w:cs="Calibri"/>
          <w:sz w:val="20"/>
          <w:szCs w:val="20"/>
        </w:rPr>
        <w:t xml:space="preserve"> letos představí město Ostrava spolu</w:t>
      </w:r>
      <w:r w:rsidRPr="009C0A50">
        <w:rPr>
          <w:rFonts w:ascii="Georgia" w:hAnsi="Georgia" w:cs="Calibri"/>
          <w:sz w:val="20"/>
          <w:szCs w:val="20"/>
        </w:rPr>
        <w:t xml:space="preserve"> s Moravskoslezským krajem, Prahou a Brnem. </w:t>
      </w:r>
      <w:r>
        <w:rPr>
          <w:rFonts w:ascii="Georgia" w:hAnsi="Georgia" w:cs="Calibri"/>
          <w:sz w:val="20"/>
          <w:szCs w:val="20"/>
        </w:rPr>
        <w:t xml:space="preserve">Veletrh se </w:t>
      </w:r>
      <w:r w:rsidRPr="009C0A50">
        <w:rPr>
          <w:rFonts w:ascii="Georgia" w:hAnsi="Georgia" w:cs="Calibri"/>
          <w:sz w:val="20"/>
          <w:szCs w:val="20"/>
        </w:rPr>
        <w:t>uskuteční ve dnech 14. až 17. března</w:t>
      </w:r>
      <w:r>
        <w:rPr>
          <w:rFonts w:ascii="Georgia" w:hAnsi="Georgia" w:cs="Calibri"/>
          <w:sz w:val="20"/>
          <w:szCs w:val="20"/>
        </w:rPr>
        <w:t xml:space="preserve"> 2023.</w:t>
      </w:r>
      <w:r w:rsidRPr="009C0A50">
        <w:rPr>
          <w:rFonts w:ascii="Georgia" w:hAnsi="Georgia" w:cs="Calibri"/>
          <w:sz w:val="20"/>
          <w:szCs w:val="20"/>
        </w:rPr>
        <w:t xml:space="preserve"> Zahraniční investory a developery seznámí s pestrou nabídkou </w:t>
      </w:r>
      <w:r>
        <w:rPr>
          <w:rFonts w:ascii="Georgia" w:hAnsi="Georgia" w:cs="Calibri"/>
          <w:sz w:val="20"/>
          <w:szCs w:val="20"/>
        </w:rPr>
        <w:t xml:space="preserve">možností investic jak </w:t>
      </w:r>
      <w:r w:rsidRPr="009C0A50">
        <w:rPr>
          <w:rFonts w:ascii="Georgia" w:hAnsi="Georgia" w:cs="Calibri"/>
          <w:sz w:val="20"/>
          <w:szCs w:val="20"/>
        </w:rPr>
        <w:t xml:space="preserve">na </w:t>
      </w:r>
      <w:r>
        <w:rPr>
          <w:rFonts w:ascii="Georgia" w:hAnsi="Georgia" w:cs="Calibri"/>
          <w:sz w:val="20"/>
          <w:szCs w:val="20"/>
        </w:rPr>
        <w:t>svém jádrovém území, tak i na městských pozemcích</w:t>
      </w:r>
      <w:r w:rsidRPr="009C0A50">
        <w:rPr>
          <w:rFonts w:ascii="Georgia" w:hAnsi="Georgia" w:cs="Calibri"/>
          <w:sz w:val="20"/>
          <w:szCs w:val="20"/>
        </w:rPr>
        <w:t xml:space="preserve"> v průmyslové zóně Mošnov. </w:t>
      </w:r>
    </w:p>
    <w:p w14:paraId="240C883E" w14:textId="77777777" w:rsidR="004C5D52" w:rsidRPr="009C0A50" w:rsidRDefault="004C5D52" w:rsidP="004C5D52">
      <w:pPr>
        <w:spacing w:after="120"/>
        <w:jc w:val="both"/>
        <w:rPr>
          <w:rFonts w:ascii="Georgia" w:hAnsi="Georgia" w:cs="Calibri"/>
          <w:sz w:val="20"/>
          <w:szCs w:val="20"/>
        </w:rPr>
      </w:pPr>
      <w:r w:rsidRPr="009C0A50">
        <w:rPr>
          <w:rFonts w:ascii="Georgia" w:hAnsi="Georgia" w:cs="Calibri"/>
          <w:sz w:val="20"/>
          <w:szCs w:val="20"/>
        </w:rPr>
        <w:t>„</w:t>
      </w:r>
      <w:r w:rsidRPr="009C0A50">
        <w:rPr>
          <w:rFonts w:ascii="Georgia" w:hAnsi="Georgia" w:cs="Calibri"/>
          <w:i/>
          <w:iCs/>
          <w:sz w:val="20"/>
          <w:szCs w:val="20"/>
        </w:rPr>
        <w:t>Navazujeme na společnou prezentaci měst a region</w:t>
      </w:r>
      <w:r>
        <w:rPr>
          <w:rFonts w:ascii="Georgia" w:hAnsi="Georgia" w:cs="Calibri"/>
          <w:i/>
          <w:iCs/>
          <w:sz w:val="20"/>
          <w:szCs w:val="20"/>
        </w:rPr>
        <w:t>ů</w:t>
      </w:r>
      <w:r w:rsidRPr="009C0A50">
        <w:rPr>
          <w:rFonts w:ascii="Georgia" w:hAnsi="Georgia" w:cs="Calibri"/>
          <w:i/>
          <w:iCs/>
          <w:sz w:val="20"/>
          <w:szCs w:val="20"/>
        </w:rPr>
        <w:t xml:space="preserve">, kterou jsme si v minulosti již několikrát vyzkoušeli. </w:t>
      </w:r>
      <w:r>
        <w:rPr>
          <w:rFonts w:ascii="Georgia" w:hAnsi="Georgia" w:cs="Calibri"/>
          <w:i/>
          <w:iCs/>
          <w:sz w:val="20"/>
          <w:szCs w:val="20"/>
        </w:rPr>
        <w:t xml:space="preserve">Těší nás, že organizaci společné expozice zajišťuje právě naše město.  </w:t>
      </w:r>
      <w:r w:rsidRPr="009C0A50">
        <w:rPr>
          <w:rFonts w:ascii="Georgia" w:hAnsi="Georgia" w:cs="Calibri"/>
          <w:i/>
          <w:iCs/>
          <w:sz w:val="20"/>
          <w:szCs w:val="20"/>
        </w:rPr>
        <w:t xml:space="preserve">Ostrava se v posledních letech mění v moderní </w:t>
      </w:r>
      <w:r>
        <w:rPr>
          <w:rFonts w:ascii="Georgia" w:hAnsi="Georgia" w:cs="Calibri"/>
          <w:i/>
          <w:iCs/>
          <w:sz w:val="20"/>
          <w:szCs w:val="20"/>
        </w:rPr>
        <w:t>metropoli</w:t>
      </w:r>
      <w:r w:rsidRPr="009C0A50">
        <w:rPr>
          <w:rFonts w:ascii="Georgia" w:hAnsi="Georgia" w:cs="Calibri"/>
          <w:i/>
          <w:iCs/>
          <w:sz w:val="20"/>
          <w:szCs w:val="20"/>
        </w:rPr>
        <w:t xml:space="preserve"> s</w:t>
      </w:r>
      <w:r>
        <w:rPr>
          <w:rFonts w:ascii="Georgia" w:hAnsi="Georgia" w:cs="Calibri"/>
          <w:i/>
          <w:iCs/>
          <w:sz w:val="20"/>
          <w:szCs w:val="20"/>
        </w:rPr>
        <w:t xml:space="preserve"> kvalitní</w:t>
      </w:r>
      <w:r w:rsidRPr="009C0A50">
        <w:rPr>
          <w:rFonts w:ascii="Georgia" w:hAnsi="Georgia" w:cs="Calibri"/>
          <w:i/>
          <w:iCs/>
          <w:sz w:val="20"/>
          <w:szCs w:val="20"/>
        </w:rPr>
        <w:t xml:space="preserve"> architekturou, </w:t>
      </w:r>
      <w:r>
        <w:rPr>
          <w:rFonts w:ascii="Georgia" w:hAnsi="Georgia" w:cs="Calibri"/>
          <w:i/>
          <w:iCs/>
          <w:sz w:val="20"/>
          <w:szCs w:val="20"/>
        </w:rPr>
        <w:t>zlepšujícím se</w:t>
      </w:r>
      <w:r w:rsidRPr="009C0A50">
        <w:rPr>
          <w:rFonts w:ascii="Georgia" w:hAnsi="Georgia" w:cs="Calibri"/>
          <w:i/>
          <w:iCs/>
          <w:sz w:val="20"/>
          <w:szCs w:val="20"/>
        </w:rPr>
        <w:t xml:space="preserve"> veřejným prostorem </w:t>
      </w:r>
      <w:r>
        <w:rPr>
          <w:rFonts w:ascii="Georgia" w:hAnsi="Georgia" w:cs="Calibri"/>
          <w:i/>
          <w:iCs/>
          <w:sz w:val="20"/>
          <w:szCs w:val="20"/>
        </w:rPr>
        <w:t>i</w:t>
      </w:r>
      <w:r w:rsidRPr="009C0A50">
        <w:rPr>
          <w:rFonts w:ascii="Georgia" w:hAnsi="Georgia" w:cs="Calibri"/>
          <w:i/>
          <w:iCs/>
          <w:sz w:val="20"/>
          <w:szCs w:val="20"/>
        </w:rPr>
        <w:t xml:space="preserve"> zdravějším životním prostředím. K tomu pomáhá také funkční městské plánování, do kterého se nám</w:t>
      </w:r>
      <w:r>
        <w:rPr>
          <w:rFonts w:ascii="Georgia" w:hAnsi="Georgia" w:cs="Calibri"/>
          <w:i/>
          <w:iCs/>
          <w:sz w:val="20"/>
          <w:szCs w:val="20"/>
        </w:rPr>
        <w:t xml:space="preserve"> v míře nebývalé</w:t>
      </w:r>
      <w:r w:rsidRPr="009C0A50">
        <w:rPr>
          <w:rFonts w:ascii="Georgia" w:hAnsi="Georgia" w:cs="Calibri"/>
          <w:i/>
          <w:iCs/>
          <w:sz w:val="20"/>
          <w:szCs w:val="20"/>
        </w:rPr>
        <w:t xml:space="preserve"> </w:t>
      </w:r>
      <w:r>
        <w:rPr>
          <w:rFonts w:ascii="Georgia" w:hAnsi="Georgia" w:cs="Calibri"/>
          <w:i/>
          <w:iCs/>
          <w:sz w:val="20"/>
          <w:szCs w:val="20"/>
        </w:rPr>
        <w:t>daří</w:t>
      </w:r>
      <w:r w:rsidRPr="009C0A50">
        <w:rPr>
          <w:rFonts w:ascii="Georgia" w:hAnsi="Georgia" w:cs="Calibri"/>
          <w:i/>
          <w:iCs/>
          <w:sz w:val="20"/>
          <w:szCs w:val="20"/>
        </w:rPr>
        <w:t xml:space="preserve"> zapojit samotné obyvatele. Naší strategií </w:t>
      </w:r>
      <w:r>
        <w:rPr>
          <w:rFonts w:ascii="Georgia" w:hAnsi="Georgia" w:cs="Calibri"/>
          <w:i/>
          <w:iCs/>
          <w:sz w:val="20"/>
          <w:szCs w:val="20"/>
        </w:rPr>
        <w:t xml:space="preserve">rozhodně </w:t>
      </w:r>
      <w:r w:rsidRPr="009C0A50">
        <w:rPr>
          <w:rFonts w:ascii="Georgia" w:hAnsi="Georgia" w:cs="Calibri"/>
          <w:i/>
          <w:iCs/>
          <w:sz w:val="20"/>
          <w:szCs w:val="20"/>
        </w:rPr>
        <w:t xml:space="preserve">není zbrklý prodej pozemků, ale </w:t>
      </w:r>
      <w:r>
        <w:rPr>
          <w:rFonts w:ascii="Georgia" w:hAnsi="Georgia" w:cs="Calibri"/>
          <w:i/>
          <w:iCs/>
          <w:sz w:val="20"/>
          <w:szCs w:val="20"/>
        </w:rPr>
        <w:t xml:space="preserve">koncepční </w:t>
      </w:r>
      <w:r w:rsidRPr="009C0A50">
        <w:rPr>
          <w:rFonts w:ascii="Georgia" w:hAnsi="Georgia" w:cs="Calibri"/>
          <w:i/>
          <w:iCs/>
          <w:sz w:val="20"/>
          <w:szCs w:val="20"/>
        </w:rPr>
        <w:t>příprava lokalit, které mají z hlediska dalšího rozvoje vyšší potenciál. Investorům tak můžeme nabídnout atraktivní pozemky pro zajímavé a kvalitní projekty různého charakteru</w:t>
      </w:r>
      <w:r w:rsidRPr="009C0A50">
        <w:rPr>
          <w:rFonts w:ascii="Georgia" w:hAnsi="Georgia" w:cs="Calibri"/>
          <w:sz w:val="20"/>
          <w:szCs w:val="20"/>
        </w:rPr>
        <w:t>,“ konstatoval primátor statutárního města Ostrava Tomáš Macura.</w:t>
      </w:r>
    </w:p>
    <w:p w14:paraId="0FD382A0" w14:textId="77777777" w:rsidR="004C5D52" w:rsidRPr="00C22765" w:rsidRDefault="004C5D52" w:rsidP="004C5D52">
      <w:pPr>
        <w:spacing w:after="120"/>
        <w:jc w:val="both"/>
        <w:rPr>
          <w:rFonts w:ascii="Georgia" w:hAnsi="Georgia" w:cs="Calibri"/>
          <w:sz w:val="20"/>
          <w:szCs w:val="20"/>
        </w:rPr>
      </w:pPr>
      <w:r w:rsidRPr="007A4A0C">
        <w:rPr>
          <w:rFonts w:ascii="Georgia" w:hAnsi="Georgia" w:cs="Calibri"/>
          <w:sz w:val="20"/>
          <w:szCs w:val="20"/>
        </w:rPr>
        <w:t>Ostrava</w:t>
      </w:r>
      <w:r>
        <w:rPr>
          <w:rFonts w:ascii="Georgia" w:hAnsi="Georgia" w:cs="Calibri"/>
          <w:sz w:val="20"/>
          <w:szCs w:val="20"/>
        </w:rPr>
        <w:t xml:space="preserve"> nedávno zahájila přípravu</w:t>
      </w:r>
      <w:r w:rsidRPr="007A4A0C">
        <w:rPr>
          <w:rFonts w:ascii="Georgia" w:hAnsi="Georgia" w:cs="Calibri"/>
          <w:sz w:val="20"/>
          <w:szCs w:val="20"/>
        </w:rPr>
        <w:t xml:space="preserve"> nov</w:t>
      </w:r>
      <w:r>
        <w:rPr>
          <w:rFonts w:ascii="Georgia" w:hAnsi="Georgia" w:cs="Calibri"/>
          <w:sz w:val="20"/>
          <w:szCs w:val="20"/>
        </w:rPr>
        <w:t>ého</w:t>
      </w:r>
      <w:r w:rsidRPr="007A4A0C">
        <w:rPr>
          <w:rFonts w:ascii="Georgia" w:hAnsi="Georgia" w:cs="Calibri"/>
          <w:sz w:val="20"/>
          <w:szCs w:val="20"/>
        </w:rPr>
        <w:t xml:space="preserve"> strategick</w:t>
      </w:r>
      <w:r>
        <w:rPr>
          <w:rFonts w:ascii="Georgia" w:hAnsi="Georgia" w:cs="Calibri"/>
          <w:sz w:val="20"/>
          <w:szCs w:val="20"/>
        </w:rPr>
        <w:t>ého</w:t>
      </w:r>
      <w:r w:rsidRPr="007A4A0C">
        <w:rPr>
          <w:rFonts w:ascii="Georgia" w:hAnsi="Georgia" w:cs="Calibri"/>
          <w:sz w:val="20"/>
          <w:szCs w:val="20"/>
        </w:rPr>
        <w:t xml:space="preserve"> plán</w:t>
      </w:r>
      <w:r>
        <w:rPr>
          <w:rFonts w:ascii="Georgia" w:hAnsi="Georgia" w:cs="Calibri"/>
          <w:sz w:val="20"/>
          <w:szCs w:val="20"/>
        </w:rPr>
        <w:t>u</w:t>
      </w:r>
      <w:r w:rsidRPr="007A4A0C">
        <w:rPr>
          <w:rFonts w:ascii="Georgia" w:hAnsi="Georgia" w:cs="Calibri"/>
          <w:sz w:val="20"/>
          <w:szCs w:val="20"/>
        </w:rPr>
        <w:t xml:space="preserve"> na období 2024-2030, </w:t>
      </w:r>
      <w:r>
        <w:rPr>
          <w:rFonts w:ascii="Georgia" w:hAnsi="Georgia" w:cs="Calibri"/>
          <w:sz w:val="20"/>
          <w:szCs w:val="20"/>
        </w:rPr>
        <w:t>jehož ambicí je</w:t>
      </w:r>
      <w:r w:rsidRPr="007A4A0C">
        <w:rPr>
          <w:rFonts w:ascii="Georgia" w:hAnsi="Georgia" w:cs="Calibri"/>
          <w:sz w:val="20"/>
          <w:szCs w:val="20"/>
        </w:rPr>
        <w:t xml:space="preserve"> </w:t>
      </w:r>
      <w:r>
        <w:rPr>
          <w:rFonts w:ascii="Georgia" w:hAnsi="Georgia" w:cs="Calibri"/>
          <w:sz w:val="20"/>
          <w:szCs w:val="20"/>
        </w:rPr>
        <w:t xml:space="preserve">navázat na úspěšnou městskou strategii </w:t>
      </w:r>
      <w:proofErr w:type="spellStart"/>
      <w:r>
        <w:rPr>
          <w:rFonts w:ascii="Georgia" w:hAnsi="Georgia" w:cs="Calibri"/>
          <w:sz w:val="20"/>
          <w:szCs w:val="20"/>
        </w:rPr>
        <w:t>fajnOVA</w:t>
      </w:r>
      <w:proofErr w:type="spellEnd"/>
      <w:r w:rsidRPr="007A4A0C">
        <w:rPr>
          <w:rFonts w:ascii="Georgia" w:hAnsi="Georgia" w:cs="Calibri"/>
          <w:sz w:val="20"/>
          <w:szCs w:val="20"/>
        </w:rPr>
        <w:t xml:space="preserve"> </w:t>
      </w:r>
      <w:r>
        <w:rPr>
          <w:rFonts w:ascii="Georgia" w:hAnsi="Georgia" w:cs="Calibri"/>
          <w:sz w:val="20"/>
          <w:szCs w:val="20"/>
        </w:rPr>
        <w:t>z let 2017-2023. V jejím rámci</w:t>
      </w:r>
      <w:r w:rsidRPr="007A4A0C">
        <w:rPr>
          <w:rFonts w:ascii="Georgia" w:hAnsi="Georgia" w:cs="Calibri"/>
          <w:sz w:val="20"/>
          <w:szCs w:val="20"/>
        </w:rPr>
        <w:t xml:space="preserve"> </w:t>
      </w:r>
      <w:r>
        <w:rPr>
          <w:rFonts w:ascii="Georgia" w:hAnsi="Georgia" w:cs="Calibri"/>
          <w:sz w:val="20"/>
          <w:szCs w:val="20"/>
        </w:rPr>
        <w:t>byly realizovány mnohé stavby a opatření</w:t>
      </w:r>
      <w:r w:rsidRPr="00C22765">
        <w:rPr>
          <w:rFonts w:ascii="Georgia" w:hAnsi="Georgia" w:cs="Calibri"/>
          <w:sz w:val="20"/>
          <w:szCs w:val="20"/>
        </w:rPr>
        <w:t xml:space="preserve">, díky nimž se zvyšuje kvalita života a město </w:t>
      </w:r>
      <w:r>
        <w:rPr>
          <w:rFonts w:ascii="Georgia" w:hAnsi="Georgia" w:cs="Calibri"/>
          <w:sz w:val="20"/>
          <w:szCs w:val="20"/>
        </w:rPr>
        <w:t>zaznamenává viditelný rozvoj</w:t>
      </w:r>
      <w:r w:rsidRPr="00C22765">
        <w:rPr>
          <w:rFonts w:ascii="Georgia" w:hAnsi="Georgia" w:cs="Calibri"/>
          <w:sz w:val="20"/>
          <w:szCs w:val="20"/>
        </w:rPr>
        <w:t xml:space="preserve">. Zmínit </w:t>
      </w:r>
      <w:r>
        <w:rPr>
          <w:rFonts w:ascii="Georgia" w:hAnsi="Georgia" w:cs="Calibri"/>
          <w:sz w:val="20"/>
          <w:szCs w:val="20"/>
        </w:rPr>
        <w:t>lze</w:t>
      </w:r>
      <w:r w:rsidRPr="00C22765">
        <w:rPr>
          <w:rFonts w:ascii="Georgia" w:hAnsi="Georgia" w:cs="Calibri"/>
          <w:sz w:val="20"/>
          <w:szCs w:val="20"/>
        </w:rPr>
        <w:t xml:space="preserve"> je</w:t>
      </w:r>
      <w:r>
        <w:rPr>
          <w:rFonts w:ascii="Georgia" w:hAnsi="Georgia" w:cs="Calibri"/>
          <w:sz w:val="20"/>
          <w:szCs w:val="20"/>
        </w:rPr>
        <w:t>n</w:t>
      </w:r>
      <w:r w:rsidRPr="00C22765">
        <w:rPr>
          <w:rFonts w:ascii="Georgia" w:hAnsi="Georgia" w:cs="Calibri"/>
          <w:sz w:val="20"/>
          <w:szCs w:val="20"/>
        </w:rPr>
        <w:t xml:space="preserve"> pár dní otevřený nový kampus Ostravské univerzity v centru města pro studenty umění a sportu, galerii současného umění PLATO v zrekonstruované historické budově městských jatek či opravu památkově chráněné prvorepublikov</w:t>
      </w:r>
      <w:r>
        <w:rPr>
          <w:rFonts w:ascii="Georgia" w:hAnsi="Georgia" w:cs="Calibri"/>
          <w:sz w:val="20"/>
          <w:szCs w:val="20"/>
        </w:rPr>
        <w:t>é</w:t>
      </w:r>
      <w:r w:rsidRPr="00C22765">
        <w:rPr>
          <w:rFonts w:ascii="Georgia" w:hAnsi="Georgia" w:cs="Calibri"/>
          <w:sz w:val="20"/>
          <w:szCs w:val="20"/>
        </w:rPr>
        <w:t xml:space="preserve"> Grossmannovy vily. Prestiž města pak dokreslují i plánované stavby jako je koncertní sál podle návrhu světově proslulého architekta Stevena </w:t>
      </w:r>
      <w:proofErr w:type="spellStart"/>
      <w:r w:rsidRPr="00C22765">
        <w:rPr>
          <w:rFonts w:ascii="Georgia" w:hAnsi="Georgia" w:cs="Calibri"/>
          <w:sz w:val="20"/>
          <w:szCs w:val="20"/>
        </w:rPr>
        <w:t>Holla</w:t>
      </w:r>
      <w:proofErr w:type="spellEnd"/>
      <w:r w:rsidRPr="00C22765">
        <w:rPr>
          <w:rFonts w:ascii="Georgia" w:hAnsi="Georgia" w:cs="Calibri"/>
          <w:sz w:val="20"/>
          <w:szCs w:val="20"/>
        </w:rPr>
        <w:t>.</w:t>
      </w:r>
    </w:p>
    <w:p w14:paraId="4046EE45" w14:textId="77777777" w:rsidR="004C5D52" w:rsidRPr="009C0A50" w:rsidRDefault="004C5D52" w:rsidP="004C5D52">
      <w:pPr>
        <w:spacing w:after="120"/>
        <w:jc w:val="both"/>
        <w:rPr>
          <w:rFonts w:ascii="Georgia" w:hAnsi="Georgia" w:cs="Calibri"/>
          <w:sz w:val="20"/>
          <w:szCs w:val="20"/>
        </w:rPr>
      </w:pPr>
      <w:r w:rsidRPr="009C0A50">
        <w:rPr>
          <w:rFonts w:ascii="Georgia" w:hAnsi="Georgia" w:cs="Calibri"/>
          <w:sz w:val="20"/>
          <w:szCs w:val="20"/>
        </w:rPr>
        <w:t xml:space="preserve">Na veletrhu </w:t>
      </w:r>
      <w:r>
        <w:rPr>
          <w:rFonts w:ascii="Georgia" w:hAnsi="Georgia" w:cs="Calibri"/>
          <w:sz w:val="20"/>
          <w:szCs w:val="20"/>
        </w:rPr>
        <w:t xml:space="preserve">Ostrava </w:t>
      </w:r>
      <w:r w:rsidRPr="009C0A50">
        <w:rPr>
          <w:rFonts w:ascii="Georgia" w:hAnsi="Georgia" w:cs="Calibri"/>
          <w:sz w:val="20"/>
          <w:szCs w:val="20"/>
        </w:rPr>
        <w:t>nabízí plochy pro bydlení a služby</w:t>
      </w:r>
      <w:r>
        <w:rPr>
          <w:rFonts w:ascii="Georgia" w:hAnsi="Georgia" w:cs="Calibri"/>
          <w:sz w:val="20"/>
          <w:szCs w:val="20"/>
        </w:rPr>
        <w:t xml:space="preserve"> na pozemcích </w:t>
      </w:r>
      <w:r w:rsidRPr="00867EA0">
        <w:rPr>
          <w:rFonts w:ascii="Georgia" w:hAnsi="Georgia" w:cs="Calibri"/>
          <w:sz w:val="20"/>
          <w:szCs w:val="20"/>
        </w:rPr>
        <w:t>v ulicích Českobratrská, Plzeňsk</w:t>
      </w:r>
      <w:r>
        <w:rPr>
          <w:rFonts w:ascii="Georgia" w:hAnsi="Georgia" w:cs="Calibri"/>
          <w:sz w:val="20"/>
          <w:szCs w:val="20"/>
        </w:rPr>
        <w:t xml:space="preserve">á, </w:t>
      </w:r>
      <w:r w:rsidRPr="00867EA0">
        <w:rPr>
          <w:rFonts w:ascii="Georgia" w:hAnsi="Georgia" w:cs="Calibri"/>
          <w:sz w:val="20"/>
          <w:szCs w:val="20"/>
        </w:rPr>
        <w:t>Polská či Opavská</w:t>
      </w:r>
      <w:r>
        <w:rPr>
          <w:rFonts w:ascii="Georgia" w:hAnsi="Georgia" w:cs="Calibri"/>
          <w:sz w:val="20"/>
          <w:szCs w:val="20"/>
        </w:rPr>
        <w:t xml:space="preserve">. Představí však </w:t>
      </w:r>
      <w:r w:rsidRPr="009C0A50">
        <w:rPr>
          <w:rFonts w:ascii="Georgia" w:hAnsi="Georgia" w:cs="Calibri"/>
          <w:sz w:val="20"/>
          <w:szCs w:val="20"/>
        </w:rPr>
        <w:t>i rozvojové lokality, na jejichž přípravě spolupracuje se soukromými investory</w:t>
      </w:r>
      <w:r>
        <w:rPr>
          <w:rFonts w:ascii="Georgia" w:hAnsi="Georgia" w:cs="Calibri"/>
          <w:sz w:val="20"/>
          <w:szCs w:val="20"/>
        </w:rPr>
        <w:t xml:space="preserve">.  K těm nejvýznamnějším patří </w:t>
      </w:r>
      <w:r w:rsidRPr="00D565C0">
        <w:rPr>
          <w:rFonts w:ascii="Georgia" w:hAnsi="Georgia" w:cs="Calibri"/>
          <w:sz w:val="20"/>
          <w:szCs w:val="20"/>
        </w:rPr>
        <w:t xml:space="preserve">oblast Pod Žofinkou, </w:t>
      </w:r>
      <w:r>
        <w:rPr>
          <w:rFonts w:ascii="Georgia" w:hAnsi="Georgia" w:cs="Calibri"/>
          <w:sz w:val="20"/>
          <w:szCs w:val="20"/>
        </w:rPr>
        <w:t xml:space="preserve">která </w:t>
      </w:r>
      <w:r w:rsidRPr="00D565C0">
        <w:rPr>
          <w:rFonts w:ascii="Georgia" w:hAnsi="Georgia" w:cs="Calibri"/>
          <w:sz w:val="20"/>
          <w:szCs w:val="20"/>
        </w:rPr>
        <w:t>propojuje </w:t>
      </w:r>
      <w:hyperlink r:id="rId7" w:history="1">
        <w:r w:rsidRPr="00D565C0">
          <w:rPr>
            <w:rFonts w:ascii="Georgia" w:hAnsi="Georgia" w:cs="Calibri"/>
            <w:sz w:val="20"/>
            <w:szCs w:val="20"/>
          </w:rPr>
          <w:t>oblast Dolních Vítkovic</w:t>
        </w:r>
      </w:hyperlink>
      <w:r w:rsidRPr="00D565C0">
        <w:rPr>
          <w:rFonts w:ascii="Georgia" w:hAnsi="Georgia" w:cs="Calibri"/>
          <w:sz w:val="20"/>
          <w:szCs w:val="20"/>
        </w:rPr>
        <w:t> s centrem Ostravy. Strategická poloha území vybízí k vytvoření nové městské čtvrti s přírodním parkem, přímou vazbou na nábřeží a novou městskou třídou</w:t>
      </w:r>
      <w:r>
        <w:rPr>
          <w:rFonts w:ascii="Georgia" w:hAnsi="Georgia" w:cs="Calibri"/>
          <w:sz w:val="20"/>
          <w:szCs w:val="20"/>
        </w:rPr>
        <w:t xml:space="preserve">. </w:t>
      </w:r>
      <w:bookmarkStart w:id="0" w:name="_Hlk127867672"/>
      <w:r w:rsidRPr="009C0A50">
        <w:rPr>
          <w:rFonts w:ascii="Georgia" w:hAnsi="Georgia" w:cs="Calibri"/>
          <w:sz w:val="20"/>
          <w:szCs w:val="20"/>
        </w:rPr>
        <w:t xml:space="preserve">Pro zájemce o průmyslové nemovitosti </w:t>
      </w:r>
      <w:r>
        <w:rPr>
          <w:rFonts w:ascii="Georgia" w:hAnsi="Georgia" w:cs="Calibri"/>
          <w:sz w:val="20"/>
          <w:szCs w:val="20"/>
        </w:rPr>
        <w:t>pak jsou</w:t>
      </w:r>
      <w:r w:rsidRPr="009C0A50">
        <w:rPr>
          <w:rFonts w:ascii="Georgia" w:hAnsi="Georgia" w:cs="Calibri"/>
          <w:sz w:val="20"/>
          <w:szCs w:val="20"/>
        </w:rPr>
        <w:t xml:space="preserve"> připraveny pozemky ve </w:t>
      </w:r>
      <w:r>
        <w:rPr>
          <w:rFonts w:ascii="Georgia" w:hAnsi="Georgia" w:cs="Calibri"/>
          <w:sz w:val="20"/>
          <w:szCs w:val="20"/>
        </w:rPr>
        <w:t>s</w:t>
      </w:r>
      <w:r w:rsidRPr="009C0A50">
        <w:rPr>
          <w:rFonts w:ascii="Georgia" w:hAnsi="Georgia" w:cs="Calibri"/>
          <w:sz w:val="20"/>
          <w:szCs w:val="20"/>
        </w:rPr>
        <w:t xml:space="preserve">trategické průmyslové zóně Mošnov, </w:t>
      </w:r>
      <w:r>
        <w:rPr>
          <w:rFonts w:ascii="Georgia" w:hAnsi="Georgia" w:cs="Calibri"/>
          <w:sz w:val="20"/>
          <w:szCs w:val="20"/>
        </w:rPr>
        <w:t xml:space="preserve">v blízkosti letiště, </w:t>
      </w:r>
      <w:r w:rsidRPr="009C0A50">
        <w:rPr>
          <w:rFonts w:ascii="Georgia" w:hAnsi="Georgia" w:cs="Calibri"/>
          <w:sz w:val="20"/>
          <w:szCs w:val="20"/>
        </w:rPr>
        <w:t>na niž navazuje administrativní centrum s pozemky využitelnými pro kanceláře, služby či hotel.</w:t>
      </w:r>
      <w:bookmarkEnd w:id="0"/>
      <w:r>
        <w:rPr>
          <w:rFonts w:ascii="Georgia" w:hAnsi="Georgia" w:cs="Calibri"/>
          <w:sz w:val="20"/>
          <w:szCs w:val="20"/>
        </w:rPr>
        <w:t xml:space="preserve"> </w:t>
      </w:r>
    </w:p>
    <w:p w14:paraId="7C2FA51B" w14:textId="77777777" w:rsidR="004C5D52" w:rsidRPr="009C0A50" w:rsidRDefault="004C5D52" w:rsidP="004C5D52">
      <w:pPr>
        <w:spacing w:after="120"/>
        <w:jc w:val="both"/>
        <w:rPr>
          <w:rFonts w:ascii="Georgia" w:hAnsi="Georgia" w:cs="Calibri"/>
          <w:sz w:val="20"/>
          <w:szCs w:val="20"/>
        </w:rPr>
      </w:pPr>
      <w:r w:rsidRPr="009C0A50">
        <w:rPr>
          <w:rFonts w:ascii="Georgia" w:hAnsi="Georgia" w:cs="Calibri"/>
          <w:sz w:val="20"/>
          <w:szCs w:val="20"/>
        </w:rPr>
        <w:t xml:space="preserve">Na přívětivé podnikatelské prostředí, podporu a otevřenost novým investičním příležitostem </w:t>
      </w:r>
      <w:r>
        <w:rPr>
          <w:rFonts w:ascii="Georgia" w:hAnsi="Georgia" w:cs="Calibri"/>
          <w:sz w:val="20"/>
          <w:szCs w:val="20"/>
        </w:rPr>
        <w:t xml:space="preserve">pozitivně </w:t>
      </w:r>
      <w:r w:rsidRPr="009C0A50">
        <w:rPr>
          <w:rFonts w:ascii="Georgia" w:hAnsi="Georgia" w:cs="Calibri"/>
          <w:sz w:val="20"/>
          <w:szCs w:val="20"/>
        </w:rPr>
        <w:t xml:space="preserve">reagují sami investoři. Výsledkem předchozích ročníků veletrhu je například nově vznikající partnerství města se společností </w:t>
      </w:r>
      <w:proofErr w:type="spellStart"/>
      <w:r w:rsidRPr="009C0A50">
        <w:rPr>
          <w:rFonts w:ascii="Georgia" w:hAnsi="Georgia" w:cs="Calibri"/>
          <w:sz w:val="20"/>
          <w:szCs w:val="20"/>
        </w:rPr>
        <w:t>LinkCity</w:t>
      </w:r>
      <w:proofErr w:type="spellEnd"/>
      <w:r w:rsidRPr="009C0A50">
        <w:rPr>
          <w:rFonts w:ascii="Georgia" w:hAnsi="Georgia" w:cs="Calibri"/>
          <w:sz w:val="20"/>
          <w:szCs w:val="20"/>
        </w:rPr>
        <w:t xml:space="preserve"> na projektu Residence Stodolní či dokončovaná budova </w:t>
      </w:r>
      <w:proofErr w:type="spellStart"/>
      <w:r w:rsidRPr="009C0A50">
        <w:rPr>
          <w:rFonts w:ascii="Georgia" w:hAnsi="Georgia" w:cs="Calibri"/>
          <w:sz w:val="20"/>
          <w:szCs w:val="20"/>
        </w:rPr>
        <w:t>Organica</w:t>
      </w:r>
      <w:proofErr w:type="spellEnd"/>
      <w:r w:rsidRPr="009C0A50">
        <w:rPr>
          <w:rFonts w:ascii="Georgia" w:hAnsi="Georgia" w:cs="Calibri"/>
          <w:sz w:val="20"/>
          <w:szCs w:val="20"/>
        </w:rPr>
        <w:t xml:space="preserve"> developera </w:t>
      </w:r>
      <w:proofErr w:type="spellStart"/>
      <w:r w:rsidRPr="009C0A50">
        <w:rPr>
          <w:rFonts w:ascii="Georgia" w:hAnsi="Georgia" w:cs="Calibri"/>
          <w:sz w:val="20"/>
          <w:szCs w:val="20"/>
        </w:rPr>
        <w:t>Contera</w:t>
      </w:r>
      <w:proofErr w:type="spellEnd"/>
      <w:r>
        <w:rPr>
          <w:rFonts w:ascii="Georgia" w:hAnsi="Georgia" w:cs="Calibri"/>
          <w:sz w:val="20"/>
          <w:szCs w:val="20"/>
        </w:rPr>
        <w:t xml:space="preserve">, která roste </w:t>
      </w:r>
      <w:r w:rsidRPr="00D565C0">
        <w:rPr>
          <w:rFonts w:ascii="Georgia" w:hAnsi="Georgia" w:cs="Calibri"/>
          <w:sz w:val="20"/>
          <w:szCs w:val="20"/>
        </w:rPr>
        <w:t>na území bývalého brownfieldu v oblasti Karolina</w:t>
      </w:r>
      <w:r>
        <w:rPr>
          <w:rFonts w:ascii="Georgia" w:hAnsi="Georgia" w:cs="Calibri"/>
          <w:sz w:val="20"/>
          <w:szCs w:val="20"/>
        </w:rPr>
        <w:t>.</w:t>
      </w:r>
      <w:r w:rsidRPr="009C0A50">
        <w:rPr>
          <w:rFonts w:ascii="Georgia" w:hAnsi="Georgia" w:cs="Calibri"/>
          <w:sz w:val="20"/>
          <w:szCs w:val="20"/>
        </w:rPr>
        <w:t xml:space="preserve"> </w:t>
      </w:r>
      <w:r>
        <w:rPr>
          <w:rFonts w:ascii="Georgia" w:hAnsi="Georgia" w:cs="Calibri"/>
          <w:sz w:val="20"/>
          <w:szCs w:val="20"/>
        </w:rPr>
        <w:t>D</w:t>
      </w:r>
      <w:r w:rsidRPr="009C0A50">
        <w:rPr>
          <w:rFonts w:ascii="Georgia" w:hAnsi="Georgia" w:cs="Calibri"/>
          <w:sz w:val="20"/>
          <w:szCs w:val="20"/>
        </w:rPr>
        <w:t xml:space="preserve">ále investice společnosti </w:t>
      </w:r>
      <w:proofErr w:type="spellStart"/>
      <w:r w:rsidRPr="009C0A50">
        <w:rPr>
          <w:rFonts w:ascii="Georgia" w:hAnsi="Georgia" w:cs="Calibri"/>
          <w:sz w:val="20"/>
          <w:szCs w:val="20"/>
        </w:rPr>
        <w:t>Concens</w:t>
      </w:r>
      <w:proofErr w:type="spellEnd"/>
      <w:r w:rsidRPr="009C0A50">
        <w:rPr>
          <w:rFonts w:ascii="Georgia" w:hAnsi="Georgia" w:cs="Calibri"/>
          <w:sz w:val="20"/>
          <w:szCs w:val="20"/>
        </w:rPr>
        <w:t xml:space="preserve"> do Ostrava </w:t>
      </w:r>
      <w:proofErr w:type="spellStart"/>
      <w:r w:rsidRPr="009C0A50">
        <w:rPr>
          <w:rFonts w:ascii="Georgia" w:hAnsi="Georgia" w:cs="Calibri"/>
          <w:sz w:val="20"/>
          <w:szCs w:val="20"/>
        </w:rPr>
        <w:t>Airport</w:t>
      </w:r>
      <w:proofErr w:type="spellEnd"/>
      <w:r w:rsidRPr="009C0A50">
        <w:rPr>
          <w:rFonts w:ascii="Georgia" w:hAnsi="Georgia" w:cs="Calibri"/>
          <w:sz w:val="20"/>
          <w:szCs w:val="20"/>
        </w:rPr>
        <w:t xml:space="preserve"> </w:t>
      </w:r>
      <w:proofErr w:type="spellStart"/>
      <w:r w:rsidRPr="009C0A50">
        <w:rPr>
          <w:rFonts w:ascii="Georgia" w:hAnsi="Georgia" w:cs="Calibri"/>
          <w:sz w:val="20"/>
          <w:szCs w:val="20"/>
        </w:rPr>
        <w:t>Multimodal</w:t>
      </w:r>
      <w:proofErr w:type="spellEnd"/>
      <w:r w:rsidRPr="009C0A50">
        <w:rPr>
          <w:rFonts w:ascii="Georgia" w:hAnsi="Georgia" w:cs="Calibri"/>
          <w:sz w:val="20"/>
          <w:szCs w:val="20"/>
        </w:rPr>
        <w:t xml:space="preserve"> parku v Mošnově nebo výstavb</w:t>
      </w:r>
      <w:r>
        <w:rPr>
          <w:rFonts w:ascii="Georgia" w:hAnsi="Georgia" w:cs="Calibri"/>
          <w:sz w:val="20"/>
          <w:szCs w:val="20"/>
        </w:rPr>
        <w:t>a</w:t>
      </w:r>
      <w:r w:rsidRPr="009C0A50">
        <w:rPr>
          <w:rFonts w:ascii="Georgia" w:hAnsi="Georgia" w:cs="Calibri"/>
          <w:sz w:val="20"/>
          <w:szCs w:val="20"/>
        </w:rPr>
        <w:t xml:space="preserve"> nových podnikatelských zón v Hrušově (</w:t>
      </w:r>
      <w:proofErr w:type="spellStart"/>
      <w:r w:rsidRPr="009C0A50">
        <w:rPr>
          <w:rFonts w:ascii="Georgia" w:hAnsi="Georgia" w:cs="Calibri"/>
          <w:sz w:val="20"/>
          <w:szCs w:val="20"/>
        </w:rPr>
        <w:t>Contera</w:t>
      </w:r>
      <w:proofErr w:type="spellEnd"/>
      <w:r w:rsidRPr="009C0A50">
        <w:rPr>
          <w:rFonts w:ascii="Georgia" w:hAnsi="Georgia" w:cs="Calibri"/>
          <w:sz w:val="20"/>
          <w:szCs w:val="20"/>
        </w:rPr>
        <w:t xml:space="preserve">) i ve Vítkovicích (P3 </w:t>
      </w:r>
      <w:proofErr w:type="spellStart"/>
      <w:r w:rsidRPr="009C0A50">
        <w:rPr>
          <w:rFonts w:ascii="Georgia" w:hAnsi="Georgia" w:cs="Calibri"/>
          <w:sz w:val="20"/>
          <w:szCs w:val="20"/>
        </w:rPr>
        <w:t>Logistic</w:t>
      </w:r>
      <w:proofErr w:type="spellEnd"/>
      <w:r w:rsidRPr="009C0A50">
        <w:rPr>
          <w:rFonts w:ascii="Georgia" w:hAnsi="Georgia" w:cs="Calibri"/>
          <w:sz w:val="20"/>
          <w:szCs w:val="20"/>
        </w:rPr>
        <w:t xml:space="preserve"> </w:t>
      </w:r>
      <w:proofErr w:type="spellStart"/>
      <w:r w:rsidRPr="009C0A50">
        <w:rPr>
          <w:rFonts w:ascii="Georgia" w:hAnsi="Georgia" w:cs="Calibri"/>
          <w:sz w:val="20"/>
          <w:szCs w:val="20"/>
        </w:rPr>
        <w:t>Parks</w:t>
      </w:r>
      <w:proofErr w:type="spellEnd"/>
      <w:r w:rsidRPr="009C0A50">
        <w:rPr>
          <w:rFonts w:ascii="Georgia" w:hAnsi="Georgia" w:cs="Calibri"/>
          <w:sz w:val="20"/>
          <w:szCs w:val="20"/>
        </w:rPr>
        <w:t xml:space="preserve">). </w:t>
      </w:r>
      <w:r>
        <w:rPr>
          <w:rFonts w:ascii="Georgia" w:hAnsi="Georgia" w:cs="Calibri"/>
          <w:sz w:val="20"/>
          <w:szCs w:val="20"/>
        </w:rPr>
        <w:t xml:space="preserve">Ostatně, investiční potenciál Ostravy dokazuje i nedávné umístění mezi deseti „evropskými městy budoucnosti“ dle agentury </w:t>
      </w:r>
      <w:proofErr w:type="spellStart"/>
      <w:r>
        <w:rPr>
          <w:rFonts w:ascii="Georgia" w:hAnsi="Georgia" w:cs="Calibri"/>
          <w:sz w:val="20"/>
          <w:szCs w:val="20"/>
        </w:rPr>
        <w:t>fDi</w:t>
      </w:r>
      <w:proofErr w:type="spellEnd"/>
      <w:r>
        <w:rPr>
          <w:rFonts w:ascii="Georgia" w:hAnsi="Georgia" w:cs="Calibri"/>
          <w:sz w:val="20"/>
          <w:szCs w:val="20"/>
        </w:rPr>
        <w:t xml:space="preserve"> </w:t>
      </w:r>
      <w:proofErr w:type="spellStart"/>
      <w:r>
        <w:rPr>
          <w:rFonts w:ascii="Georgia" w:hAnsi="Georgia" w:cs="Calibri"/>
          <w:sz w:val="20"/>
          <w:szCs w:val="20"/>
        </w:rPr>
        <w:t>Intelligence</w:t>
      </w:r>
      <w:proofErr w:type="spellEnd"/>
      <w:r>
        <w:rPr>
          <w:rFonts w:ascii="Georgia" w:hAnsi="Georgia" w:cs="Calibri"/>
          <w:sz w:val="20"/>
          <w:szCs w:val="20"/>
        </w:rPr>
        <w:t>.</w:t>
      </w:r>
    </w:p>
    <w:p w14:paraId="4ADDE70E" w14:textId="77777777" w:rsidR="004C5D52" w:rsidRPr="009C0A50" w:rsidRDefault="004C5D52" w:rsidP="004C5D52">
      <w:pPr>
        <w:spacing w:after="120"/>
        <w:jc w:val="both"/>
        <w:rPr>
          <w:rFonts w:ascii="Georgia" w:hAnsi="Georgia" w:cs="Calibri"/>
          <w:sz w:val="20"/>
          <w:szCs w:val="20"/>
        </w:rPr>
      </w:pPr>
      <w:r w:rsidRPr="009C0A50">
        <w:rPr>
          <w:rFonts w:ascii="Georgia" w:hAnsi="Georgia" w:cs="Calibri"/>
          <w:sz w:val="20"/>
          <w:szCs w:val="20"/>
        </w:rPr>
        <w:t>Moravskoslezský kraj jede na veletrh MIPIM nabídnout řadu zajímavých lokalit a projektů v atraktivních rezidenčních, komerčních nebo výrobních areálech, a představit tak nejen vizionářské, ale i standardní investorské projekty. </w:t>
      </w:r>
    </w:p>
    <w:p w14:paraId="3DF5F3CE" w14:textId="77777777" w:rsidR="004C5D52" w:rsidRPr="009C0A50" w:rsidRDefault="004C5D52" w:rsidP="004C5D52">
      <w:pPr>
        <w:spacing w:after="120"/>
        <w:jc w:val="both"/>
        <w:rPr>
          <w:rFonts w:ascii="Georgia" w:hAnsi="Georgia" w:cs="Calibri"/>
          <w:sz w:val="20"/>
          <w:szCs w:val="20"/>
        </w:rPr>
      </w:pPr>
      <w:r w:rsidRPr="009C0A50">
        <w:rPr>
          <w:rFonts w:ascii="Georgia" w:hAnsi="Georgia" w:cs="Calibri"/>
          <w:sz w:val="20"/>
          <w:szCs w:val="20"/>
        </w:rPr>
        <w:t>„</w:t>
      </w:r>
      <w:r w:rsidRPr="009C0A50">
        <w:rPr>
          <w:rFonts w:ascii="Georgia" w:hAnsi="Georgia" w:cs="Calibri"/>
          <w:i/>
          <w:iCs/>
          <w:sz w:val="20"/>
          <w:szCs w:val="20"/>
        </w:rPr>
        <w:t xml:space="preserve">Moravskoslezský kraj úspěšně pokračuje v dynamické hospodářské transformaci a věřím, že se postupně vrací mezi hlavní rozvojové póly České republiky. Intenzivně pracujeme na strategických projektech, které </w:t>
      </w:r>
      <w:r w:rsidRPr="009C0A50">
        <w:rPr>
          <w:rFonts w:ascii="Georgia" w:hAnsi="Georgia" w:cs="Calibri"/>
          <w:i/>
          <w:iCs/>
          <w:sz w:val="20"/>
          <w:szCs w:val="20"/>
        </w:rPr>
        <w:lastRenderedPageBreak/>
        <w:t>budou mít významný dopad na další prosperitu našeho regionu a posílí zde rozvoj investičních příležitostí. Na veletrhu MIPIM chceme náš kraj a jeho vize představit a s investory jednat o možnosti spolupráce. Chceme k nám pozvat silné hráče, kteří se aktivně zapojí do rozvoje našeho kraje formou developerských projektů, některé jsme dokonce připraveni podpořit z prostředků evropského Fondu pro spravedlivou transformaci. Investorům představíme několik atraktivních ploch a projektů napříč celým regionem</w:t>
      </w:r>
      <w:bookmarkStart w:id="1" w:name="_Hlk127278449"/>
      <w:r w:rsidRPr="009C0A50">
        <w:rPr>
          <w:rFonts w:ascii="Georgia" w:hAnsi="Georgia" w:cs="Calibri"/>
          <w:i/>
          <w:iCs/>
          <w:sz w:val="20"/>
          <w:szCs w:val="20"/>
        </w:rPr>
        <w:t>. Věřím, že je zaujme naše investiční nabídka z oblasti rezidenční a smíšené výstavby, atraktivní by mohly být i areály pro lehkou výrobu a logistiku. Veletrh MIPIM vnímám   </w:t>
      </w:r>
      <w:bookmarkEnd w:id="1"/>
      <w:r w:rsidRPr="009C0A50">
        <w:rPr>
          <w:rFonts w:ascii="Georgia" w:hAnsi="Georgia" w:cs="Calibri"/>
          <w:i/>
          <w:iCs/>
          <w:sz w:val="20"/>
          <w:szCs w:val="20"/>
        </w:rPr>
        <w:t>jako skvělou příležitost, která může v blízké budoucnosti zlepšit podmínky pro život místních obyvatel, ekonomiku i naše životní prostředí</w:t>
      </w:r>
      <w:r w:rsidRPr="009C0A50">
        <w:rPr>
          <w:rFonts w:ascii="Georgia" w:hAnsi="Georgia" w:cs="Calibri"/>
          <w:sz w:val="20"/>
          <w:szCs w:val="20"/>
        </w:rPr>
        <w:t>,“ uvedl hejtman Moravskoslezského kraje Ivo Vondrák.</w:t>
      </w:r>
    </w:p>
    <w:p w14:paraId="1F96F902" w14:textId="77777777" w:rsidR="004C5D52" w:rsidRPr="009C0A50" w:rsidRDefault="004C5D52" w:rsidP="004C5D52">
      <w:pPr>
        <w:pStyle w:val="Normlnweb"/>
        <w:spacing w:before="0" w:beforeAutospacing="0" w:after="120" w:afterAutospacing="0" w:line="259" w:lineRule="auto"/>
        <w:jc w:val="both"/>
        <w:rPr>
          <w:rFonts w:ascii="Georgia" w:eastAsia="Times New Roman" w:hAnsi="Georgia"/>
          <w:sz w:val="20"/>
          <w:szCs w:val="20"/>
        </w:rPr>
      </w:pPr>
      <w:r w:rsidRPr="009C0A50">
        <w:rPr>
          <w:rFonts w:ascii="Georgia" w:eastAsia="Times New Roman" w:hAnsi="Georgia"/>
          <w:sz w:val="20"/>
          <w:szCs w:val="20"/>
        </w:rPr>
        <w:t xml:space="preserve">Klíčovým transformačním územím Moravskoslezského kraje, které skýtá obrovské příležitosti budoucího rozvoje, je </w:t>
      </w:r>
      <w:proofErr w:type="spellStart"/>
      <w:r w:rsidRPr="009C0A50">
        <w:rPr>
          <w:rFonts w:ascii="Georgia" w:eastAsia="Times New Roman" w:hAnsi="Georgia"/>
          <w:sz w:val="20"/>
          <w:szCs w:val="20"/>
        </w:rPr>
        <w:t>pohornická</w:t>
      </w:r>
      <w:proofErr w:type="spellEnd"/>
      <w:r w:rsidRPr="009C0A50">
        <w:rPr>
          <w:rFonts w:ascii="Georgia" w:eastAsia="Times New Roman" w:hAnsi="Georgia"/>
          <w:sz w:val="20"/>
          <w:szCs w:val="20"/>
        </w:rPr>
        <w:t xml:space="preserve"> oblast Karvinska. Území o rozloze 60 km² ležící mezi městy Karviná, Havířov a Orlová bylo v minulosti spojeno s těžbou uhlí a intenzivní průmyslovou činností. Prostřednictvím programu POHO2030 se pomalu naplňuje vize regionu vrátit této krajině život a otevřít ji lidem. Areály dolů se stanou novým impulzem pro podnikání a ekonomický rozvoj oblasti. Na veletrhu budou představeny projekty moderních industriálních parků Jan Karel a Lazy, které by měly být postaveny s využitím prvků nové energetiky a chytrých řešení. Projekty Eden </w:t>
      </w:r>
      <w:proofErr w:type="spellStart"/>
      <w:r w:rsidRPr="009C0A50">
        <w:rPr>
          <w:rFonts w:ascii="Georgia" w:eastAsia="Times New Roman" w:hAnsi="Georgia"/>
          <w:sz w:val="20"/>
          <w:szCs w:val="20"/>
        </w:rPr>
        <w:t>Silesia</w:t>
      </w:r>
      <w:proofErr w:type="spellEnd"/>
      <w:r w:rsidRPr="009C0A50">
        <w:rPr>
          <w:rFonts w:ascii="Georgia" w:eastAsia="Times New Roman" w:hAnsi="Georgia"/>
          <w:sz w:val="20"/>
          <w:szCs w:val="20"/>
        </w:rPr>
        <w:t xml:space="preserve"> a POHO Park Gabriela jsou naopak zástupci vzdělávací, výzkumné a volnočasové infrastruktury a mají se stát místy, kam budou lidé jezdit za poznáním, odpočinkem a zábavou.</w:t>
      </w:r>
    </w:p>
    <w:p w14:paraId="7DDB8D07" w14:textId="77777777" w:rsidR="004C5D52" w:rsidRPr="009C0A50" w:rsidRDefault="004C5D52" w:rsidP="004C5D52">
      <w:pPr>
        <w:spacing w:after="120"/>
        <w:jc w:val="both"/>
        <w:rPr>
          <w:rFonts w:ascii="Georgia" w:hAnsi="Georgia" w:cs="Calibri"/>
          <w:sz w:val="20"/>
          <w:szCs w:val="20"/>
        </w:rPr>
      </w:pPr>
      <w:r w:rsidRPr="009C0A50">
        <w:rPr>
          <w:rFonts w:ascii="Georgia" w:hAnsi="Georgia" w:cs="Calibri"/>
          <w:sz w:val="20"/>
          <w:szCs w:val="20"/>
        </w:rPr>
        <w:t>Praha na veletrhu MIPIM představí nový Metropolitní plán Prahy, jehož autorem je Institut plánování a rozvoje hlavního města Prahy, který má nahradit stávající územní plán z roku 1999. Prostřednictvím interaktivní aplikace budou návštěvníkům vysvětlena základní pravidla a principy městského plánování. Návštěvníci veletrhu budou mimo jiné seznámeni s proměnou pražských čtvrtí, konkrétně Palmovky, Nových Dvorů nebo Dolních Počernic v oblasti s dostupným městským nájemním bydlením, kvalitní architekturou a veřejným prostorem.</w:t>
      </w:r>
    </w:p>
    <w:p w14:paraId="6ABE346F" w14:textId="77777777" w:rsidR="004C5D52" w:rsidRPr="009C0A50" w:rsidRDefault="004C5D52" w:rsidP="004C5D52">
      <w:pPr>
        <w:spacing w:after="120"/>
        <w:jc w:val="both"/>
        <w:rPr>
          <w:rFonts w:ascii="Georgia" w:hAnsi="Georgia" w:cs="Calibri"/>
          <w:sz w:val="20"/>
          <w:szCs w:val="20"/>
        </w:rPr>
      </w:pPr>
      <w:r w:rsidRPr="009C0A50">
        <w:rPr>
          <w:rFonts w:ascii="Georgia" w:hAnsi="Georgia" w:cs="Calibri"/>
          <w:sz w:val="20"/>
          <w:szCs w:val="20"/>
        </w:rPr>
        <w:t>„</w:t>
      </w:r>
      <w:r w:rsidRPr="009C0A50">
        <w:rPr>
          <w:rFonts w:ascii="Georgia" w:hAnsi="Georgia" w:cs="Calibri"/>
          <w:i/>
          <w:iCs/>
          <w:sz w:val="20"/>
          <w:szCs w:val="20"/>
        </w:rPr>
        <w:t>Praha je unikátním místem v srdci střední Evropy, kde se snoubí tradice s inovacemi. Naším cílem pro následující funkční období je nadále podporovat rozvoj brownfieldů a nevyužívaných ploch v rámci města pro potřebnou výstavbu městského nájemního bydlení a budování nových městských čtvrtí, na které budou Pražani v budoucnu právem hrdí. Důležitým prvkem je pro nás i podpora inovativních přístupů a technologií v oblasti udržitelné výstavby,</w:t>
      </w:r>
      <w:r w:rsidRPr="009C0A50">
        <w:rPr>
          <w:rFonts w:ascii="Georgia" w:hAnsi="Georgia" w:cs="Calibri"/>
          <w:sz w:val="20"/>
          <w:szCs w:val="20"/>
        </w:rPr>
        <w:t>“ sdělil primátor hlavního města Prahy Bohuslav Svoboda.</w:t>
      </w:r>
    </w:p>
    <w:p w14:paraId="1DEE7FEF" w14:textId="77777777" w:rsidR="004C5D52" w:rsidRPr="009C0A50" w:rsidRDefault="004C5D52" w:rsidP="004C5D52">
      <w:pPr>
        <w:spacing w:after="120"/>
        <w:jc w:val="both"/>
        <w:rPr>
          <w:rFonts w:ascii="Georgia" w:hAnsi="Georgia" w:cs="Calibri"/>
          <w:sz w:val="20"/>
          <w:szCs w:val="20"/>
        </w:rPr>
      </w:pPr>
      <w:r w:rsidRPr="009C0A50">
        <w:rPr>
          <w:rFonts w:ascii="Georgia" w:hAnsi="Georgia" w:cs="Calibri"/>
          <w:sz w:val="20"/>
          <w:szCs w:val="20"/>
        </w:rPr>
        <w:t xml:space="preserve">Primátorka statutárního města Brna Markéta Vaňková </w:t>
      </w:r>
      <w:r>
        <w:rPr>
          <w:rFonts w:ascii="Georgia" w:hAnsi="Georgia" w:cs="Calibri"/>
          <w:sz w:val="20"/>
          <w:szCs w:val="20"/>
        </w:rPr>
        <w:t>konstatovala</w:t>
      </w:r>
      <w:r w:rsidRPr="009C0A50">
        <w:rPr>
          <w:rFonts w:ascii="Georgia" w:hAnsi="Georgia" w:cs="Calibri"/>
          <w:sz w:val="20"/>
          <w:szCs w:val="20"/>
        </w:rPr>
        <w:t>: „</w:t>
      </w:r>
      <w:r w:rsidRPr="009C0A50">
        <w:rPr>
          <w:rFonts w:ascii="Georgia" w:hAnsi="Georgia" w:cs="Calibri"/>
          <w:i/>
          <w:iCs/>
          <w:sz w:val="20"/>
          <w:szCs w:val="20"/>
        </w:rPr>
        <w:t>Město Brno se v posledních letech stalo progresivním centrem, které aktivně podporuje inovační podnikání, aplikovaný výzkum, rozvoj talentů a popularizaci vědy. Na veletrhu MIPIM představíme tři významné projekty, které mají přinést další rozvoj Brna.</w:t>
      </w:r>
      <w:r w:rsidRPr="009C0A50">
        <w:rPr>
          <w:rFonts w:ascii="Georgia" w:hAnsi="Georgia" w:cs="Calibri"/>
          <w:sz w:val="20"/>
          <w:szCs w:val="20"/>
        </w:rPr>
        <w:t xml:space="preserve">“ </w:t>
      </w:r>
    </w:p>
    <w:p w14:paraId="61AEC618" w14:textId="77777777" w:rsidR="004C5D52" w:rsidRPr="009C0A50" w:rsidRDefault="004C5D52" w:rsidP="004C5D52">
      <w:pPr>
        <w:spacing w:after="120"/>
        <w:jc w:val="both"/>
        <w:rPr>
          <w:rFonts w:ascii="Georgia" w:hAnsi="Georgia" w:cs="Calibri"/>
          <w:sz w:val="20"/>
          <w:szCs w:val="20"/>
        </w:rPr>
      </w:pPr>
      <w:r w:rsidRPr="009C0A50">
        <w:rPr>
          <w:rFonts w:ascii="Georgia" w:hAnsi="Georgia" w:cs="Calibri"/>
          <w:sz w:val="20"/>
          <w:szCs w:val="20"/>
        </w:rPr>
        <w:t xml:space="preserve">Chytrá čtvrť </w:t>
      </w:r>
      <w:proofErr w:type="spellStart"/>
      <w:r w:rsidRPr="009C0A50">
        <w:rPr>
          <w:rFonts w:ascii="Georgia" w:hAnsi="Georgia" w:cs="Calibri"/>
          <w:sz w:val="20"/>
          <w:szCs w:val="20"/>
        </w:rPr>
        <w:t>Špitálka</w:t>
      </w:r>
      <w:proofErr w:type="spellEnd"/>
      <w:r w:rsidRPr="009C0A50">
        <w:rPr>
          <w:rFonts w:ascii="Georgia" w:hAnsi="Georgia" w:cs="Calibri"/>
          <w:sz w:val="20"/>
          <w:szCs w:val="20"/>
        </w:rPr>
        <w:t xml:space="preserve"> vzniká v blízkosti městského centra za pomoci moderních technologií a inovativních přístupů. Na veletrhu hledá Brno strategického partnera pro realizaci projektu. Významným brněnským projektem je také </w:t>
      </w:r>
      <w:r>
        <w:rPr>
          <w:rFonts w:ascii="Georgia" w:hAnsi="Georgia" w:cs="Calibri"/>
          <w:sz w:val="20"/>
          <w:szCs w:val="20"/>
        </w:rPr>
        <w:t>N</w:t>
      </w:r>
      <w:r w:rsidRPr="009C0A50">
        <w:rPr>
          <w:rFonts w:ascii="Georgia" w:hAnsi="Georgia" w:cs="Calibri"/>
          <w:sz w:val="20"/>
          <w:szCs w:val="20"/>
        </w:rPr>
        <w:t xml:space="preserve">ová čtvrť Trnitá s budoucím novým hlavním nádražím, spojeným bulvárem s historickým centrem města. Území o rozloze 140 ha se výhledově promění v moderní městskou čtvrť pro bydlení, práci i volný čas s významným podílem takového veřejného prostoru, který přispěje k udržitelnosti města v reakci na změnu klimatu. Inovace přináší i městská společnost Technologický park Brno, která rozvíjí projekt business parku ve stylu kampusu a díky blízkosti technické univerzity a výzkumných center poskytuje svým klientským společnostem jedinečné benefity v oblasti talentovaných absolventů i možnosti spolupráce s výzkumnými a vývojovými institucemi. Na MIPIM má zájem o nové nájemce moderních kanceláří i víceúčelových prostor pro výzkum a lehký průmysl. </w:t>
      </w:r>
    </w:p>
    <w:p w14:paraId="08F2717F" w14:textId="77777777" w:rsidR="004C5D52" w:rsidRDefault="004C5D52" w:rsidP="004C5D52">
      <w:pPr>
        <w:spacing w:after="120"/>
        <w:jc w:val="both"/>
        <w:rPr>
          <w:rFonts w:ascii="Georgia" w:hAnsi="Georgia" w:cs="Calibri"/>
          <w:sz w:val="20"/>
          <w:szCs w:val="20"/>
        </w:rPr>
      </w:pPr>
      <w:r w:rsidRPr="009C0A50">
        <w:rPr>
          <w:rFonts w:ascii="Georgia" w:hAnsi="Georgia" w:cs="Calibri"/>
          <w:sz w:val="20"/>
          <w:szCs w:val="20"/>
        </w:rPr>
        <w:t>„</w:t>
      </w:r>
      <w:r w:rsidRPr="009C0A50">
        <w:rPr>
          <w:rFonts w:ascii="Georgia" w:hAnsi="Georgia" w:cs="Calibri"/>
          <w:i/>
          <w:iCs/>
          <w:sz w:val="20"/>
          <w:szCs w:val="20"/>
        </w:rPr>
        <w:t>Právě díky spolupráci s </w:t>
      </w:r>
      <w:r>
        <w:rPr>
          <w:rFonts w:ascii="Georgia" w:hAnsi="Georgia" w:cs="Calibri"/>
          <w:i/>
          <w:iCs/>
          <w:sz w:val="20"/>
          <w:szCs w:val="20"/>
        </w:rPr>
        <w:t>T</w:t>
      </w:r>
      <w:r w:rsidRPr="009C0A50">
        <w:rPr>
          <w:rFonts w:ascii="Georgia" w:hAnsi="Georgia" w:cs="Calibri"/>
          <w:i/>
          <w:iCs/>
          <w:sz w:val="20"/>
          <w:szCs w:val="20"/>
        </w:rPr>
        <w:t>echnologickým parkem se daří do praxe uvádět koncept takzvané městské laboratoře, tedy prostoru pro rozvoj inovací, technologií a nových postupů. V Brně umíme do rozvojových plánů zapojit i kreativitu a nezatížený pohled studentů, tedy naší budoucí generace. Ti právě v této lokalitě mohou pro město navrhovat konkrétní inovativní a chytrá řešení, která budeme moci reálně otestovat a v případě úspěchu i realizovat</w:t>
      </w:r>
      <w:r w:rsidRPr="009C0A50">
        <w:rPr>
          <w:rFonts w:ascii="Georgia" w:hAnsi="Georgia" w:cs="Calibri"/>
          <w:sz w:val="20"/>
          <w:szCs w:val="20"/>
        </w:rPr>
        <w:t>,“ vysvětlila primátorka Markéta Vaňková.</w:t>
      </w:r>
    </w:p>
    <w:p w14:paraId="57F8C264" w14:textId="77777777" w:rsidR="004C5D52" w:rsidRPr="009C0A50" w:rsidRDefault="00081AE3" w:rsidP="004C5D52">
      <w:pPr>
        <w:spacing w:after="120"/>
        <w:jc w:val="both"/>
        <w:rPr>
          <w:rFonts w:ascii="Georgia" w:hAnsi="Georgia" w:cs="Calibri"/>
          <w:sz w:val="20"/>
          <w:szCs w:val="20"/>
        </w:rPr>
      </w:pPr>
      <w:r>
        <w:rPr>
          <w:rFonts w:ascii="Georgia" w:hAnsi="Georgia" w:cs="Calibri"/>
          <w:noProof/>
          <w:sz w:val="20"/>
          <w:szCs w:val="20"/>
        </w:rPr>
        <w:pict w14:anchorId="16A2E8AB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7D466B70" w14:textId="45C84A86" w:rsidR="004C5D52" w:rsidRPr="009C0A50" w:rsidRDefault="004C5D52" w:rsidP="004C5D52">
      <w:pPr>
        <w:spacing w:after="120"/>
        <w:jc w:val="both"/>
        <w:rPr>
          <w:rFonts w:ascii="Georgia" w:hAnsi="Georgia" w:cs="Calibri"/>
          <w:sz w:val="20"/>
          <w:szCs w:val="20"/>
        </w:rPr>
      </w:pPr>
      <w:r w:rsidRPr="009C0A50">
        <w:rPr>
          <w:rFonts w:ascii="Georgia" w:hAnsi="Georgia" w:cs="Calibri"/>
          <w:sz w:val="20"/>
          <w:szCs w:val="20"/>
        </w:rPr>
        <w:t>Veletrh MIPIM patří mezi největší akce svého druhu na světě a je platformou pro setkání měst a regionů</w:t>
      </w:r>
      <w:r>
        <w:rPr>
          <w:rFonts w:ascii="Georgia" w:hAnsi="Georgia" w:cs="Calibri"/>
          <w:sz w:val="20"/>
          <w:szCs w:val="20"/>
        </w:rPr>
        <w:t>,</w:t>
      </w:r>
      <w:r w:rsidRPr="009C0A50">
        <w:rPr>
          <w:rFonts w:ascii="Georgia" w:hAnsi="Georgia" w:cs="Calibri"/>
          <w:sz w:val="20"/>
          <w:szCs w:val="20"/>
        </w:rPr>
        <w:t xml:space="preserve"> navázání kontaktů mezi sebou i se soukromou sférou.  Generálním partnerem expozice je </w:t>
      </w:r>
      <w:r w:rsidR="00081AE3">
        <w:rPr>
          <w:rFonts w:ascii="Georgia" w:hAnsi="Georgia" w:cs="Calibri"/>
          <w:sz w:val="20"/>
          <w:szCs w:val="20"/>
        </w:rPr>
        <w:t xml:space="preserve">stavební </w:t>
      </w:r>
      <w:r w:rsidRPr="009C0A50">
        <w:rPr>
          <w:rFonts w:ascii="Georgia" w:hAnsi="Georgia" w:cs="Calibri"/>
          <w:sz w:val="20"/>
          <w:szCs w:val="20"/>
        </w:rPr>
        <w:t xml:space="preserve">společnost HSF </w:t>
      </w:r>
      <w:proofErr w:type="spellStart"/>
      <w:r w:rsidRPr="009C0A50">
        <w:rPr>
          <w:rFonts w:ascii="Georgia" w:hAnsi="Georgia" w:cs="Calibri"/>
          <w:sz w:val="20"/>
          <w:szCs w:val="20"/>
        </w:rPr>
        <w:t>System</w:t>
      </w:r>
      <w:proofErr w:type="spellEnd"/>
      <w:r w:rsidRPr="009C0A50">
        <w:rPr>
          <w:rFonts w:ascii="Georgia" w:hAnsi="Georgia" w:cs="Calibri"/>
          <w:sz w:val="20"/>
          <w:szCs w:val="20"/>
        </w:rPr>
        <w:t xml:space="preserve"> a. s., dalšími partnery jsou AFI </w:t>
      </w:r>
      <w:proofErr w:type="spellStart"/>
      <w:r w:rsidRPr="009C0A50">
        <w:rPr>
          <w:rFonts w:ascii="Georgia" w:hAnsi="Georgia" w:cs="Calibri"/>
          <w:sz w:val="20"/>
          <w:szCs w:val="20"/>
        </w:rPr>
        <w:t>Europe</w:t>
      </w:r>
      <w:proofErr w:type="spellEnd"/>
      <w:r w:rsidRPr="009C0A50">
        <w:rPr>
          <w:rFonts w:ascii="Georgia" w:hAnsi="Georgia" w:cs="Calibri"/>
          <w:sz w:val="20"/>
          <w:szCs w:val="20"/>
        </w:rPr>
        <w:t xml:space="preserve"> Czech Republic s. r. o., </w:t>
      </w:r>
      <w:proofErr w:type="spellStart"/>
      <w:r w:rsidRPr="009C0A50">
        <w:rPr>
          <w:rFonts w:ascii="Georgia" w:hAnsi="Georgia" w:cs="Calibri"/>
          <w:sz w:val="20"/>
          <w:szCs w:val="20"/>
        </w:rPr>
        <w:t>Trammell</w:t>
      </w:r>
      <w:proofErr w:type="spellEnd"/>
      <w:r w:rsidRPr="009C0A50">
        <w:rPr>
          <w:rFonts w:ascii="Georgia" w:hAnsi="Georgia" w:cs="Calibri"/>
          <w:sz w:val="20"/>
          <w:szCs w:val="20"/>
        </w:rPr>
        <w:t xml:space="preserve"> </w:t>
      </w:r>
      <w:proofErr w:type="spellStart"/>
      <w:r w:rsidRPr="009C0A50">
        <w:rPr>
          <w:rFonts w:ascii="Georgia" w:hAnsi="Georgia" w:cs="Calibri"/>
          <w:sz w:val="20"/>
          <w:szCs w:val="20"/>
        </w:rPr>
        <w:t>Crow</w:t>
      </w:r>
      <w:proofErr w:type="spellEnd"/>
      <w:r w:rsidRPr="009C0A50">
        <w:rPr>
          <w:rFonts w:ascii="Georgia" w:hAnsi="Georgia" w:cs="Calibri"/>
          <w:sz w:val="20"/>
          <w:szCs w:val="20"/>
        </w:rPr>
        <w:t xml:space="preserve"> </w:t>
      </w:r>
      <w:proofErr w:type="spellStart"/>
      <w:r w:rsidRPr="009C0A50">
        <w:rPr>
          <w:rFonts w:ascii="Georgia" w:hAnsi="Georgia" w:cs="Calibri"/>
          <w:sz w:val="20"/>
          <w:szCs w:val="20"/>
        </w:rPr>
        <w:t>Company</w:t>
      </w:r>
      <w:proofErr w:type="spellEnd"/>
      <w:r w:rsidRPr="009C0A50">
        <w:rPr>
          <w:rFonts w:ascii="Georgia" w:hAnsi="Georgia" w:cs="Calibri"/>
          <w:sz w:val="20"/>
          <w:szCs w:val="20"/>
        </w:rPr>
        <w:t xml:space="preserve"> a Skanska</w:t>
      </w:r>
      <w:r>
        <w:rPr>
          <w:rFonts w:ascii="Georgia" w:hAnsi="Georgia" w:cs="Calibri"/>
          <w:sz w:val="20"/>
          <w:szCs w:val="20"/>
        </w:rPr>
        <w:t xml:space="preserve"> komerční development</w:t>
      </w:r>
      <w:r w:rsidRPr="009C0A50">
        <w:rPr>
          <w:rFonts w:ascii="Georgia" w:hAnsi="Georgia" w:cs="Calibri"/>
          <w:sz w:val="20"/>
          <w:szCs w:val="20"/>
        </w:rPr>
        <w:t xml:space="preserve">. Mezi další spoluvystavovatele se řadí společnosti P3 </w:t>
      </w:r>
      <w:proofErr w:type="spellStart"/>
      <w:r w:rsidRPr="009C0A50">
        <w:rPr>
          <w:rFonts w:ascii="Georgia" w:hAnsi="Georgia" w:cs="Calibri"/>
          <w:sz w:val="20"/>
          <w:szCs w:val="20"/>
        </w:rPr>
        <w:t>Logistic</w:t>
      </w:r>
      <w:proofErr w:type="spellEnd"/>
      <w:r w:rsidRPr="009C0A50">
        <w:rPr>
          <w:rFonts w:ascii="Georgia" w:hAnsi="Georgia" w:cs="Calibri"/>
          <w:sz w:val="20"/>
          <w:szCs w:val="20"/>
        </w:rPr>
        <w:t xml:space="preserve"> </w:t>
      </w:r>
      <w:proofErr w:type="spellStart"/>
      <w:r w:rsidRPr="009C0A50">
        <w:rPr>
          <w:rFonts w:ascii="Georgia" w:hAnsi="Georgia" w:cs="Calibri"/>
          <w:sz w:val="20"/>
          <w:szCs w:val="20"/>
        </w:rPr>
        <w:t>Parks</w:t>
      </w:r>
      <w:proofErr w:type="spellEnd"/>
      <w:r w:rsidRPr="009C0A50">
        <w:rPr>
          <w:rFonts w:ascii="Georgia" w:hAnsi="Georgia" w:cs="Calibri"/>
          <w:sz w:val="20"/>
          <w:szCs w:val="20"/>
        </w:rPr>
        <w:t xml:space="preserve"> s. r. o., CTP Invest, spol. s. r. o., </w:t>
      </w:r>
      <w:proofErr w:type="spellStart"/>
      <w:r w:rsidRPr="009C0A50">
        <w:rPr>
          <w:rFonts w:ascii="Georgia" w:hAnsi="Georgia" w:cs="Calibri"/>
          <w:sz w:val="20"/>
          <w:szCs w:val="20"/>
        </w:rPr>
        <w:t>Panattoni</w:t>
      </w:r>
      <w:proofErr w:type="spellEnd"/>
      <w:r w:rsidRPr="009C0A50">
        <w:rPr>
          <w:rFonts w:ascii="Georgia" w:hAnsi="Georgia" w:cs="Calibri"/>
          <w:sz w:val="20"/>
          <w:szCs w:val="20"/>
        </w:rPr>
        <w:t xml:space="preserve"> Czech Republic Development s. r. o., GLP Czech Republic Management s. r. o., PRK </w:t>
      </w:r>
      <w:proofErr w:type="spellStart"/>
      <w:r w:rsidRPr="009C0A50">
        <w:rPr>
          <w:rFonts w:ascii="Georgia" w:hAnsi="Georgia" w:cs="Calibri"/>
          <w:sz w:val="20"/>
          <w:szCs w:val="20"/>
        </w:rPr>
        <w:t>Partners</w:t>
      </w:r>
      <w:proofErr w:type="spellEnd"/>
      <w:r w:rsidRPr="009C0A50">
        <w:rPr>
          <w:rFonts w:ascii="Georgia" w:hAnsi="Georgia" w:cs="Calibri"/>
          <w:sz w:val="20"/>
          <w:szCs w:val="20"/>
        </w:rPr>
        <w:t xml:space="preserve"> s. r. o. advokátní kancelář</w:t>
      </w:r>
      <w:r w:rsidR="00081AE3">
        <w:rPr>
          <w:rFonts w:ascii="Georgia" w:hAnsi="Georgia" w:cs="Calibri"/>
          <w:sz w:val="20"/>
          <w:szCs w:val="20"/>
        </w:rPr>
        <w:t xml:space="preserve"> a</w:t>
      </w:r>
      <w:r w:rsidRPr="009C0A50">
        <w:rPr>
          <w:rFonts w:ascii="Georgia" w:hAnsi="Georgia" w:cs="Calibri"/>
          <w:sz w:val="20"/>
          <w:szCs w:val="20"/>
        </w:rPr>
        <w:t xml:space="preserve"> </w:t>
      </w:r>
      <w:proofErr w:type="spellStart"/>
      <w:r w:rsidRPr="009C0A50">
        <w:rPr>
          <w:rFonts w:ascii="Georgia" w:hAnsi="Georgia" w:cs="Calibri"/>
          <w:sz w:val="20"/>
          <w:szCs w:val="20"/>
        </w:rPr>
        <w:t>Casua</w:t>
      </w:r>
      <w:proofErr w:type="spellEnd"/>
      <w:r w:rsidRPr="009C0A50">
        <w:rPr>
          <w:rFonts w:ascii="Georgia" w:hAnsi="Georgia" w:cs="Calibri"/>
          <w:sz w:val="20"/>
          <w:szCs w:val="20"/>
        </w:rPr>
        <w:t xml:space="preserve"> spol. s. r. o. </w:t>
      </w:r>
    </w:p>
    <w:p w14:paraId="1194A439" w14:textId="77777777" w:rsidR="004C5D52" w:rsidRPr="009C0A50" w:rsidRDefault="004C5D52" w:rsidP="004C5D52">
      <w:pPr>
        <w:shd w:val="clear" w:color="auto" w:fill="FFFFFF"/>
        <w:spacing w:after="120"/>
        <w:jc w:val="both"/>
        <w:rPr>
          <w:rFonts w:ascii="Georgia" w:hAnsi="Georgia" w:cs="Calibri"/>
          <w:sz w:val="20"/>
          <w:szCs w:val="20"/>
        </w:rPr>
      </w:pPr>
      <w:r w:rsidRPr="009C0A50">
        <w:rPr>
          <w:rFonts w:ascii="Georgia" w:hAnsi="Georgia" w:cs="Calibri"/>
          <w:sz w:val="20"/>
          <w:szCs w:val="20"/>
        </w:rPr>
        <w:lastRenderedPageBreak/>
        <w:t>Nápaditý design expozice o celkové velikosti 250 m² pro tento ročník navrhlo studio JA ARCHITEKTI. Jak v materiálech, tak ve tvarech, kombinují minimalismus s bytelností a drží tak krok se současnými trendy v architektuře, expozice získává tolik potřebnou autenticitu. Oficiální prezentace hlavního města Prahy, statutárních měst Brna a Ostravy, Moravskoslezského kraje a jejich partnerů proběhne ve středu 15. března 2023 od 15 hodin.</w:t>
      </w:r>
    </w:p>
    <w:p w14:paraId="0E6CCDFD" w14:textId="77777777" w:rsidR="004C5D52" w:rsidRPr="009C0A50" w:rsidRDefault="004C5D52" w:rsidP="004C5D52">
      <w:pPr>
        <w:spacing w:after="120"/>
        <w:jc w:val="both"/>
        <w:rPr>
          <w:rFonts w:ascii="Georgia" w:hAnsi="Georgia" w:cs="Calibri"/>
          <w:sz w:val="20"/>
          <w:szCs w:val="20"/>
        </w:rPr>
      </w:pPr>
    </w:p>
    <w:p w14:paraId="43D174B4" w14:textId="77777777" w:rsidR="00E3712D" w:rsidRPr="009C0A50" w:rsidRDefault="00E3712D" w:rsidP="00E3712D">
      <w:pPr>
        <w:spacing w:after="120"/>
        <w:jc w:val="both"/>
        <w:rPr>
          <w:rFonts w:ascii="Georgia" w:hAnsi="Georgia" w:cs="Calibri"/>
          <w:sz w:val="20"/>
          <w:szCs w:val="20"/>
        </w:rPr>
      </w:pPr>
    </w:p>
    <w:p w14:paraId="27DEB435" w14:textId="77777777" w:rsidR="00E3712D" w:rsidRPr="009C0A50" w:rsidRDefault="00E3712D" w:rsidP="00A43699">
      <w:pPr>
        <w:spacing w:after="120"/>
        <w:jc w:val="both"/>
        <w:rPr>
          <w:rFonts w:ascii="Georgia" w:hAnsi="Georgia" w:cs="Calibri"/>
          <w:sz w:val="20"/>
          <w:szCs w:val="20"/>
        </w:rPr>
      </w:pPr>
    </w:p>
    <w:p w14:paraId="08F8E601" w14:textId="1E383DFD" w:rsidR="00E3712D" w:rsidRPr="009C0A50" w:rsidRDefault="00E3712D" w:rsidP="00A43699">
      <w:pPr>
        <w:spacing w:after="120"/>
        <w:jc w:val="both"/>
        <w:rPr>
          <w:rFonts w:ascii="Georgia" w:hAnsi="Georgia" w:cs="Calibri"/>
          <w:sz w:val="20"/>
          <w:szCs w:val="20"/>
        </w:rPr>
      </w:pPr>
    </w:p>
    <w:sectPr w:rsidR="00E3712D" w:rsidRPr="009C0A50" w:rsidSect="00ED0AE1">
      <w:headerReference w:type="default" r:id="rId8"/>
      <w:footerReference w:type="default" r:id="rId9"/>
      <w:pgSz w:w="11906" w:h="16838"/>
      <w:pgMar w:top="1751" w:right="1106" w:bottom="1418" w:left="1134" w:header="539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A2BA4" w14:textId="77777777" w:rsidR="00250EDA" w:rsidRDefault="00250EDA">
      <w:r>
        <w:separator/>
      </w:r>
    </w:p>
  </w:endnote>
  <w:endnote w:type="continuationSeparator" w:id="0">
    <w:p w14:paraId="4299D722" w14:textId="77777777" w:rsidR="00250EDA" w:rsidRDefault="0025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3F39" w14:textId="00368668" w:rsidR="00637E55" w:rsidRDefault="00637E55" w:rsidP="00ED0AE1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</w:p>
  <w:tbl>
    <w:tblPr>
      <w:tblStyle w:val="Mkatabulky"/>
      <w:tblW w:w="9661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6"/>
      <w:gridCol w:w="2173"/>
      <w:gridCol w:w="2114"/>
      <w:gridCol w:w="3028"/>
    </w:tblGrid>
    <w:tr w:rsidR="00C16B00" w14:paraId="03A088E6" w14:textId="77777777" w:rsidTr="00C16B00">
      <w:tc>
        <w:tcPr>
          <w:tcW w:w="2202" w:type="dxa"/>
        </w:tcPr>
        <w:p w14:paraId="79683E2E" w14:textId="1DF272F4" w:rsidR="00637E55" w:rsidRDefault="00C16B00" w:rsidP="00ED0AE1">
          <w:pPr>
            <w:pStyle w:val="Zpat"/>
            <w:tabs>
              <w:tab w:val="clear" w:pos="4536"/>
              <w:tab w:val="center" w:pos="1440"/>
              <w:tab w:val="left" w:pos="3060"/>
            </w:tabs>
            <w:rPr>
              <w:rStyle w:val="slostrnky"/>
              <w:rFonts w:cs="Arial"/>
              <w:color w:val="003C69"/>
              <w:sz w:val="16"/>
            </w:rPr>
          </w:pPr>
          <w:r>
            <w:rPr>
              <w:noProof/>
            </w:rPr>
            <w:drawing>
              <wp:inline distT="0" distB="0" distL="0" distR="0" wp14:anchorId="100F0548" wp14:editId="56EFDE2C">
                <wp:extent cx="1350082" cy="409368"/>
                <wp:effectExtent l="0" t="0" r="254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308" cy="428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3" w:type="dxa"/>
        </w:tcPr>
        <w:p w14:paraId="2F26520A" w14:textId="4AD88D79" w:rsidR="00637E55" w:rsidRDefault="00C16B00" w:rsidP="00C16B00">
          <w:pPr>
            <w:pStyle w:val="Zpat"/>
            <w:tabs>
              <w:tab w:val="clear" w:pos="4536"/>
              <w:tab w:val="center" w:pos="1440"/>
              <w:tab w:val="left" w:pos="3060"/>
            </w:tabs>
            <w:jc w:val="center"/>
            <w:rPr>
              <w:rStyle w:val="slostrnky"/>
              <w:rFonts w:cs="Arial"/>
              <w:color w:val="003C69"/>
              <w:sz w:val="16"/>
            </w:rPr>
          </w:pPr>
          <w:r>
            <w:rPr>
              <w:noProof/>
            </w:rPr>
            <w:drawing>
              <wp:inline distT="0" distB="0" distL="0" distR="0" wp14:anchorId="53D4DC9D" wp14:editId="05281708">
                <wp:extent cx="946205" cy="425979"/>
                <wp:effectExtent l="0" t="0" r="6350" b="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923" cy="428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3" w:type="dxa"/>
        </w:tcPr>
        <w:p w14:paraId="6C260FB0" w14:textId="00163899" w:rsidR="00637E55" w:rsidRDefault="00C16B00" w:rsidP="00C16B00">
          <w:pPr>
            <w:pStyle w:val="Zpat"/>
            <w:tabs>
              <w:tab w:val="clear" w:pos="4536"/>
              <w:tab w:val="center" w:pos="1440"/>
              <w:tab w:val="left" w:pos="3060"/>
            </w:tabs>
            <w:jc w:val="center"/>
            <w:rPr>
              <w:rStyle w:val="slostrnky"/>
              <w:rFonts w:cs="Arial"/>
              <w:color w:val="003C69"/>
              <w:sz w:val="16"/>
            </w:rPr>
          </w:pPr>
          <w:r>
            <w:rPr>
              <w:noProof/>
            </w:rPr>
            <w:drawing>
              <wp:inline distT="0" distB="0" distL="0" distR="0" wp14:anchorId="3FDAF5FE" wp14:editId="77D34BF7">
                <wp:extent cx="349885" cy="357505"/>
                <wp:effectExtent l="0" t="0" r="0" b="4445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88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3" w:type="dxa"/>
        </w:tcPr>
        <w:p w14:paraId="0B34CCC6" w14:textId="01AC6097" w:rsidR="00637E55" w:rsidRDefault="00637E55" w:rsidP="00ED0AE1">
          <w:pPr>
            <w:pStyle w:val="Zpat"/>
            <w:tabs>
              <w:tab w:val="clear" w:pos="4536"/>
              <w:tab w:val="center" w:pos="1440"/>
              <w:tab w:val="left" w:pos="3060"/>
            </w:tabs>
            <w:rPr>
              <w:rStyle w:val="slostrnky"/>
              <w:rFonts w:cs="Arial"/>
              <w:color w:val="003C69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4D024291" wp14:editId="41BB8ACF">
                <wp:simplePos x="0" y="0"/>
                <wp:positionH relativeFrom="column">
                  <wp:posOffset>237766</wp:posOffset>
                </wp:positionH>
                <wp:positionV relativeFrom="paragraph">
                  <wp:posOffset>118745</wp:posOffset>
                </wp:positionV>
                <wp:extent cx="1539102" cy="188251"/>
                <wp:effectExtent l="0" t="0" r="4445" b="2540"/>
                <wp:wrapTight wrapText="bothSides">
                  <wp:wrapPolygon edited="0">
                    <wp:start x="0" y="0"/>
                    <wp:lineTo x="0" y="19703"/>
                    <wp:lineTo x="21395" y="19703"/>
                    <wp:lineTo x="21395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102" cy="1882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81EDB9A" w14:textId="45C73B5D" w:rsidR="00ED0AE1" w:rsidRDefault="00081AE3" w:rsidP="00ED0AE1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</w:p>
  <w:p w14:paraId="66581ED5" w14:textId="5B8EAAC5" w:rsidR="00ED0AE1" w:rsidRDefault="0080298B" w:rsidP="000E28DB">
    <w:pPr>
      <w:pStyle w:val="Zpat"/>
      <w:tabs>
        <w:tab w:val="center" w:pos="180"/>
        <w:tab w:val="left" w:pos="3060"/>
      </w:tabs>
      <w:ind w:left="-28" w:hanging="539"/>
      <w:rPr>
        <w:sz w:val="20"/>
      </w:rPr>
    </w:pPr>
    <w:r>
      <w:rPr>
        <w:rStyle w:val="slostrnky"/>
        <w:rFonts w:cs="Arial"/>
        <w:color w:val="003C69"/>
        <w:sz w:val="16"/>
      </w:rPr>
      <w:fldChar w:fldCharType="begin"/>
    </w:r>
    <w:r>
      <w:rPr>
        <w:rStyle w:val="slostrnky"/>
        <w:rFonts w:cs="Arial"/>
        <w:color w:val="003C69"/>
        <w:sz w:val="16"/>
      </w:rPr>
      <w:instrText xml:space="preserve"> PAGE </w:instrText>
    </w:r>
    <w:r>
      <w:rPr>
        <w:rStyle w:val="slostrnky"/>
        <w:rFonts w:cs="Arial"/>
        <w:color w:val="003C69"/>
        <w:sz w:val="16"/>
      </w:rPr>
      <w:fldChar w:fldCharType="separate"/>
    </w:r>
    <w:r w:rsidR="000D2848">
      <w:rPr>
        <w:rStyle w:val="slostrnky"/>
        <w:rFonts w:cs="Arial"/>
        <w:noProof/>
        <w:color w:val="003C69"/>
        <w:sz w:val="16"/>
      </w:rPr>
      <w:t>2</w:t>
    </w:r>
    <w:r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>/</w:t>
    </w:r>
    <w:r>
      <w:rPr>
        <w:rStyle w:val="slostrnky"/>
        <w:rFonts w:cs="Arial"/>
        <w:color w:val="003C69"/>
        <w:sz w:val="16"/>
      </w:rPr>
      <w:fldChar w:fldCharType="begin"/>
    </w:r>
    <w:r>
      <w:rPr>
        <w:rStyle w:val="slostrnky"/>
        <w:rFonts w:cs="Arial"/>
        <w:color w:val="003C69"/>
        <w:sz w:val="16"/>
      </w:rPr>
      <w:instrText xml:space="preserve"> NUMPAGES </w:instrText>
    </w:r>
    <w:r>
      <w:rPr>
        <w:rStyle w:val="slostrnky"/>
        <w:rFonts w:cs="Arial"/>
        <w:color w:val="003C69"/>
        <w:sz w:val="16"/>
      </w:rPr>
      <w:fldChar w:fldCharType="separate"/>
    </w:r>
    <w:r w:rsidR="000D2848">
      <w:rPr>
        <w:rStyle w:val="slostrnky"/>
        <w:rFonts w:cs="Arial"/>
        <w:noProof/>
        <w:color w:val="003C69"/>
        <w:sz w:val="16"/>
      </w:rPr>
      <w:t>2</w:t>
    </w:r>
    <w:r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</w:r>
    <w:r>
      <w:rPr>
        <w:rStyle w:val="slostrnky"/>
        <w:rFonts w:cs="Arial"/>
        <w:color w:val="003C69"/>
        <w:sz w:val="16"/>
      </w:rPr>
      <w:tab/>
    </w:r>
    <w:r>
      <w:rPr>
        <w:rStyle w:val="slostrnky"/>
        <w:rFonts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0E8A" w14:textId="77777777" w:rsidR="00250EDA" w:rsidRDefault="00250EDA">
      <w:r>
        <w:separator/>
      </w:r>
    </w:p>
  </w:footnote>
  <w:footnote w:type="continuationSeparator" w:id="0">
    <w:p w14:paraId="37B420D7" w14:textId="77777777" w:rsidR="00250EDA" w:rsidRDefault="0025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7293" w14:textId="1AFE3899" w:rsidR="00A008BC" w:rsidRDefault="0080298B" w:rsidP="00ED0AE1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670C30" wp14:editId="03BD94B3">
          <wp:simplePos x="0" y="0"/>
          <wp:positionH relativeFrom="column">
            <wp:posOffset>28575</wp:posOffset>
          </wp:positionH>
          <wp:positionV relativeFrom="paragraph">
            <wp:posOffset>45720</wp:posOffset>
          </wp:positionV>
          <wp:extent cx="6137910" cy="294005"/>
          <wp:effectExtent l="0" t="0" r="0" b="0"/>
          <wp:wrapTight wrapText="bothSides">
            <wp:wrapPolygon edited="0">
              <wp:start x="0" y="0"/>
              <wp:lineTo x="0" y="19594"/>
              <wp:lineTo x="21520" y="19594"/>
              <wp:lineTo x="21520" y="0"/>
              <wp:lineTo x="0" y="0"/>
            </wp:wrapPolygon>
          </wp:wrapTight>
          <wp:docPr id="2" name="Obrázek 2" descr="tisková zpráva_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isková zpráva_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91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B8"/>
    <w:rsid w:val="00002FA6"/>
    <w:rsid w:val="000042E8"/>
    <w:rsid w:val="00055901"/>
    <w:rsid w:val="000707F0"/>
    <w:rsid w:val="00073E6E"/>
    <w:rsid w:val="00081AE3"/>
    <w:rsid w:val="000962AE"/>
    <w:rsid w:val="000A026C"/>
    <w:rsid w:val="000B6B01"/>
    <w:rsid w:val="000C0EB8"/>
    <w:rsid w:val="000D20AC"/>
    <w:rsid w:val="000D2848"/>
    <w:rsid w:val="000D799F"/>
    <w:rsid w:val="000E28DB"/>
    <w:rsid w:val="000E4CB8"/>
    <w:rsid w:val="0016136E"/>
    <w:rsid w:val="00161D60"/>
    <w:rsid w:val="0017107F"/>
    <w:rsid w:val="001B1367"/>
    <w:rsid w:val="001B5351"/>
    <w:rsid w:val="001F185F"/>
    <w:rsid w:val="00221478"/>
    <w:rsid w:val="00250EDA"/>
    <w:rsid w:val="00262740"/>
    <w:rsid w:val="00273276"/>
    <w:rsid w:val="00277339"/>
    <w:rsid w:val="002A5897"/>
    <w:rsid w:val="002B7F12"/>
    <w:rsid w:val="002C6174"/>
    <w:rsid w:val="002D19F5"/>
    <w:rsid w:val="002D1F93"/>
    <w:rsid w:val="002D3574"/>
    <w:rsid w:val="002E1272"/>
    <w:rsid w:val="002E1A37"/>
    <w:rsid w:val="002F1270"/>
    <w:rsid w:val="002F15F6"/>
    <w:rsid w:val="00327CF1"/>
    <w:rsid w:val="00331687"/>
    <w:rsid w:val="003461DF"/>
    <w:rsid w:val="003620C5"/>
    <w:rsid w:val="00364F69"/>
    <w:rsid w:val="00384992"/>
    <w:rsid w:val="003B3ABD"/>
    <w:rsid w:val="003C1C2B"/>
    <w:rsid w:val="003E264A"/>
    <w:rsid w:val="00401250"/>
    <w:rsid w:val="004145C2"/>
    <w:rsid w:val="00420097"/>
    <w:rsid w:val="004216F7"/>
    <w:rsid w:val="00432A9D"/>
    <w:rsid w:val="004746AC"/>
    <w:rsid w:val="0047705C"/>
    <w:rsid w:val="00486003"/>
    <w:rsid w:val="004A097B"/>
    <w:rsid w:val="004A4061"/>
    <w:rsid w:val="004B1CED"/>
    <w:rsid w:val="004B6086"/>
    <w:rsid w:val="004C5D52"/>
    <w:rsid w:val="00554481"/>
    <w:rsid w:val="00557487"/>
    <w:rsid w:val="00560F18"/>
    <w:rsid w:val="0056370E"/>
    <w:rsid w:val="005658C1"/>
    <w:rsid w:val="00566401"/>
    <w:rsid w:val="005734CB"/>
    <w:rsid w:val="005A1EBA"/>
    <w:rsid w:val="005B2B3E"/>
    <w:rsid w:val="005F1840"/>
    <w:rsid w:val="00606884"/>
    <w:rsid w:val="006121F0"/>
    <w:rsid w:val="0062308F"/>
    <w:rsid w:val="006236BC"/>
    <w:rsid w:val="006346EC"/>
    <w:rsid w:val="00634E9C"/>
    <w:rsid w:val="00637E55"/>
    <w:rsid w:val="00656C93"/>
    <w:rsid w:val="0066281D"/>
    <w:rsid w:val="00665A79"/>
    <w:rsid w:val="006926C8"/>
    <w:rsid w:val="00692B4A"/>
    <w:rsid w:val="006A07B2"/>
    <w:rsid w:val="006A1032"/>
    <w:rsid w:val="006C0CAF"/>
    <w:rsid w:val="006C2478"/>
    <w:rsid w:val="007055B9"/>
    <w:rsid w:val="0071244F"/>
    <w:rsid w:val="007244C8"/>
    <w:rsid w:val="00742051"/>
    <w:rsid w:val="00763E6E"/>
    <w:rsid w:val="00763FFF"/>
    <w:rsid w:val="0077263D"/>
    <w:rsid w:val="007E26D6"/>
    <w:rsid w:val="007E638D"/>
    <w:rsid w:val="00802414"/>
    <w:rsid w:val="0080298B"/>
    <w:rsid w:val="00827C79"/>
    <w:rsid w:val="00831050"/>
    <w:rsid w:val="00854EBC"/>
    <w:rsid w:val="00860D19"/>
    <w:rsid w:val="00867EA0"/>
    <w:rsid w:val="008A3D5E"/>
    <w:rsid w:val="008A5008"/>
    <w:rsid w:val="008A710F"/>
    <w:rsid w:val="008A7923"/>
    <w:rsid w:val="008D4464"/>
    <w:rsid w:val="008D6116"/>
    <w:rsid w:val="008E6816"/>
    <w:rsid w:val="008F015F"/>
    <w:rsid w:val="00923807"/>
    <w:rsid w:val="00955804"/>
    <w:rsid w:val="00955BF4"/>
    <w:rsid w:val="009A4AEF"/>
    <w:rsid w:val="009C0A50"/>
    <w:rsid w:val="009E1030"/>
    <w:rsid w:val="009F5C99"/>
    <w:rsid w:val="00A022BE"/>
    <w:rsid w:val="00A023F3"/>
    <w:rsid w:val="00A0458E"/>
    <w:rsid w:val="00A1450D"/>
    <w:rsid w:val="00A178BD"/>
    <w:rsid w:val="00A26D45"/>
    <w:rsid w:val="00A26DBC"/>
    <w:rsid w:val="00A31517"/>
    <w:rsid w:val="00A366A9"/>
    <w:rsid w:val="00A43699"/>
    <w:rsid w:val="00A468B8"/>
    <w:rsid w:val="00A60812"/>
    <w:rsid w:val="00A75F73"/>
    <w:rsid w:val="00A86689"/>
    <w:rsid w:val="00A96AE0"/>
    <w:rsid w:val="00AB7913"/>
    <w:rsid w:val="00AD1B59"/>
    <w:rsid w:val="00AD2CBA"/>
    <w:rsid w:val="00AE74BB"/>
    <w:rsid w:val="00AF07F5"/>
    <w:rsid w:val="00B1397B"/>
    <w:rsid w:val="00B23014"/>
    <w:rsid w:val="00B50E27"/>
    <w:rsid w:val="00B52E13"/>
    <w:rsid w:val="00B57433"/>
    <w:rsid w:val="00B709ED"/>
    <w:rsid w:val="00B74545"/>
    <w:rsid w:val="00BA621A"/>
    <w:rsid w:val="00BD1934"/>
    <w:rsid w:val="00BE6314"/>
    <w:rsid w:val="00BE656D"/>
    <w:rsid w:val="00BF0EC2"/>
    <w:rsid w:val="00C03176"/>
    <w:rsid w:val="00C16B00"/>
    <w:rsid w:val="00C22765"/>
    <w:rsid w:val="00C45F68"/>
    <w:rsid w:val="00C50731"/>
    <w:rsid w:val="00C65127"/>
    <w:rsid w:val="00C66D00"/>
    <w:rsid w:val="00C732A4"/>
    <w:rsid w:val="00C95CED"/>
    <w:rsid w:val="00CA2032"/>
    <w:rsid w:val="00CA6B71"/>
    <w:rsid w:val="00CB1333"/>
    <w:rsid w:val="00CB5D69"/>
    <w:rsid w:val="00CF4F7B"/>
    <w:rsid w:val="00D07A75"/>
    <w:rsid w:val="00D2241C"/>
    <w:rsid w:val="00D35273"/>
    <w:rsid w:val="00D43ECE"/>
    <w:rsid w:val="00D54B74"/>
    <w:rsid w:val="00D565C0"/>
    <w:rsid w:val="00D643E3"/>
    <w:rsid w:val="00D64474"/>
    <w:rsid w:val="00DB5D68"/>
    <w:rsid w:val="00DE7925"/>
    <w:rsid w:val="00DF5B1F"/>
    <w:rsid w:val="00E14C06"/>
    <w:rsid w:val="00E35993"/>
    <w:rsid w:val="00E3712D"/>
    <w:rsid w:val="00E62BD2"/>
    <w:rsid w:val="00E63E52"/>
    <w:rsid w:val="00E8173B"/>
    <w:rsid w:val="00EA004A"/>
    <w:rsid w:val="00EA0562"/>
    <w:rsid w:val="00EA4779"/>
    <w:rsid w:val="00EB5A75"/>
    <w:rsid w:val="00EF27B8"/>
    <w:rsid w:val="00F1075A"/>
    <w:rsid w:val="00F159AA"/>
    <w:rsid w:val="00F224BF"/>
    <w:rsid w:val="00F36FCB"/>
    <w:rsid w:val="00F67333"/>
    <w:rsid w:val="00F7358B"/>
    <w:rsid w:val="00FB200B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6B2B0B7"/>
  <w15:chartTrackingRefBased/>
  <w15:docId w15:val="{1A5FE719-49AA-47AA-B19F-7AC88B1C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029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29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8029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029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VS1">
    <w:name w:val="JVS_1"/>
    <w:rsid w:val="0080298B"/>
    <w:pPr>
      <w:tabs>
        <w:tab w:val="left" w:pos="1440"/>
      </w:tabs>
      <w:spacing w:after="0" w:line="360" w:lineRule="auto"/>
    </w:pPr>
    <w:rPr>
      <w:rFonts w:ascii="Arial" w:eastAsia="Times New Roman" w:hAnsi="Arial" w:cs="Arial"/>
      <w:b/>
      <w:bCs/>
      <w:kern w:val="32"/>
      <w:sz w:val="40"/>
      <w:szCs w:val="32"/>
      <w:lang w:eastAsia="cs-CZ"/>
    </w:rPr>
  </w:style>
  <w:style w:type="character" w:styleId="slostrnky">
    <w:name w:val="page number"/>
    <w:basedOn w:val="Standardnpsmoodstavce"/>
    <w:rsid w:val="0080298B"/>
  </w:style>
  <w:style w:type="character" w:styleId="Hypertextovodkaz">
    <w:name w:val="Hyperlink"/>
    <w:basedOn w:val="Standardnpsmoodstavce"/>
    <w:uiPriority w:val="99"/>
    <w:unhideWhenUsed/>
    <w:rsid w:val="00E62BD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62BD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2F127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Odkaznakoment">
    <w:name w:val="annotation reference"/>
    <w:uiPriority w:val="99"/>
    <w:rsid w:val="00C732A4"/>
    <w:rPr>
      <w:sz w:val="16"/>
      <w:szCs w:val="16"/>
    </w:rPr>
  </w:style>
  <w:style w:type="paragraph" w:customStyle="1" w:styleId="-wm-msonormal">
    <w:name w:val="-wm-msonormal"/>
    <w:basedOn w:val="Normln"/>
    <w:rsid w:val="00C732A4"/>
    <w:pPr>
      <w:spacing w:before="100" w:beforeAutospacing="1" w:after="100" w:afterAutospacing="1"/>
    </w:pPr>
  </w:style>
  <w:style w:type="paragraph" w:styleId="Textkomente">
    <w:name w:val="annotation text"/>
    <w:basedOn w:val="Normln"/>
    <w:link w:val="TextkomenteChar"/>
    <w:uiPriority w:val="99"/>
    <w:unhideWhenUsed/>
    <w:rsid w:val="00A608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608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08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08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60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26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263D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637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olnivitkovice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E756-E6DD-4FC6-8934-6E651487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1390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Gabriela</dc:creator>
  <cp:keywords/>
  <dc:description/>
  <cp:lastModifiedBy>Hejlková Aneta</cp:lastModifiedBy>
  <cp:revision>6</cp:revision>
  <cp:lastPrinted>2023-03-02T11:29:00Z</cp:lastPrinted>
  <dcterms:created xsi:type="dcterms:W3CDTF">2023-03-07T12:52:00Z</dcterms:created>
  <dcterms:modified xsi:type="dcterms:W3CDTF">2023-03-09T07:53:00Z</dcterms:modified>
</cp:coreProperties>
</file>